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Pr="006C317E" w:rsidRDefault="006C317E" w:rsidP="006C317E">
      <w:pPr>
        <w:jc w:val="center"/>
        <w:rPr>
          <w:rFonts w:asciiTheme="minorHAnsi" w:eastAsia="Verdana" w:hAnsiTheme="minorHAnsi" w:cstheme="minorHAnsi"/>
          <w:color w:val="000000"/>
          <w:spacing w:val="-5"/>
          <w:sz w:val="56"/>
          <w:szCs w:val="56"/>
        </w:rPr>
      </w:pPr>
      <w:r w:rsidRPr="006C317E">
        <w:rPr>
          <w:rFonts w:asciiTheme="minorHAnsi" w:eastAsia="Verdana" w:hAnsiTheme="minorHAnsi" w:cstheme="minorHAnsi"/>
          <w:color w:val="000000"/>
          <w:spacing w:val="-5"/>
          <w:sz w:val="56"/>
          <w:szCs w:val="56"/>
        </w:rPr>
        <w:t>Somerville College</w:t>
      </w: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r>
        <w:rPr>
          <w:noProof/>
          <w:lang w:eastAsia="en-GB"/>
        </w:rPr>
        <w:drawing>
          <wp:anchor distT="0" distB="0" distL="114300" distR="114300" simplePos="0" relativeHeight="251668480" behindDoc="0" locked="0" layoutInCell="1" allowOverlap="1" wp14:anchorId="3DC2B5AE">
            <wp:simplePos x="0" y="0"/>
            <wp:positionH relativeFrom="margin">
              <wp:align>center</wp:align>
            </wp:positionH>
            <wp:positionV relativeFrom="paragraph">
              <wp:posOffset>254901</wp:posOffset>
            </wp:positionV>
            <wp:extent cx="1341120" cy="1560830"/>
            <wp:effectExtent l="0" t="0" r="0" b="1270"/>
            <wp:wrapTopAndBottom/>
            <wp:docPr id="28"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1341120" cy="1560830"/>
                    </a:xfrm>
                    <a:prstGeom prst="rect">
                      <a:avLst/>
                    </a:prstGeom>
                  </pic:spPr>
                </pic:pic>
              </a:graphicData>
            </a:graphic>
            <wp14:sizeRelH relativeFrom="page">
              <wp14:pctWidth>0</wp14:pctWidth>
            </wp14:sizeRelH>
            <wp14:sizeRelV relativeFrom="page">
              <wp14:pctHeight>0</wp14:pctHeight>
            </wp14:sizeRelV>
          </wp:anchor>
        </w:drawing>
      </w: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Verdana" w:eastAsia="Verdana" w:hAnsi="Verdana"/>
          <w:b/>
          <w:color w:val="000000"/>
          <w:spacing w:val="-5"/>
        </w:rPr>
      </w:pPr>
    </w:p>
    <w:p w:rsidR="006C317E" w:rsidRDefault="006C317E" w:rsidP="006C317E">
      <w:pPr>
        <w:jc w:val="center"/>
        <w:rPr>
          <w:rFonts w:asciiTheme="minorHAnsi" w:eastAsia="Verdana" w:hAnsiTheme="minorHAnsi" w:cstheme="minorHAnsi"/>
          <w:color w:val="000000"/>
          <w:spacing w:val="-5"/>
          <w:sz w:val="40"/>
          <w:szCs w:val="40"/>
        </w:rPr>
      </w:pPr>
      <w:r w:rsidRPr="006C317E">
        <w:rPr>
          <w:rFonts w:asciiTheme="minorHAnsi" w:eastAsia="Verdana" w:hAnsiTheme="minorHAnsi" w:cstheme="minorHAnsi"/>
          <w:color w:val="000000"/>
          <w:spacing w:val="-5"/>
          <w:sz w:val="40"/>
          <w:szCs w:val="40"/>
        </w:rPr>
        <w:t>Gender Pay Gap Report 201</w:t>
      </w:r>
      <w:r w:rsidR="00EF1641">
        <w:rPr>
          <w:rFonts w:asciiTheme="minorHAnsi" w:eastAsia="Verdana" w:hAnsiTheme="minorHAnsi" w:cstheme="minorHAnsi"/>
          <w:color w:val="000000"/>
          <w:spacing w:val="-5"/>
          <w:sz w:val="40"/>
          <w:szCs w:val="40"/>
        </w:rPr>
        <w:t>9</w:t>
      </w: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20"/>
          <w:szCs w:val="20"/>
        </w:rPr>
      </w:pPr>
      <w:r>
        <w:rPr>
          <w:rFonts w:asciiTheme="minorHAnsi" w:eastAsia="Verdana" w:hAnsiTheme="minorHAnsi" w:cstheme="minorHAnsi"/>
          <w:color w:val="000000"/>
          <w:spacing w:val="-5"/>
          <w:sz w:val="20"/>
          <w:szCs w:val="20"/>
        </w:rPr>
        <w:t>Somerville College, Woodstock Road, Oxford, OX2 6HD</w:t>
      </w:r>
    </w:p>
    <w:p w:rsidR="006C317E" w:rsidRDefault="006C317E" w:rsidP="006C317E">
      <w:pPr>
        <w:jc w:val="center"/>
        <w:rPr>
          <w:rFonts w:asciiTheme="minorHAnsi" w:eastAsia="Verdana" w:hAnsiTheme="minorHAnsi" w:cstheme="minorHAnsi"/>
          <w:color w:val="000000"/>
          <w:spacing w:val="-5"/>
          <w:sz w:val="20"/>
          <w:szCs w:val="20"/>
        </w:rPr>
      </w:pPr>
    </w:p>
    <w:p w:rsidR="006C317E" w:rsidRPr="006C317E" w:rsidRDefault="006C317E" w:rsidP="006C317E">
      <w:pPr>
        <w:jc w:val="center"/>
        <w:rPr>
          <w:rFonts w:asciiTheme="minorHAnsi" w:eastAsia="Verdana" w:hAnsiTheme="minorHAnsi" w:cstheme="minorHAnsi"/>
          <w:color w:val="000000"/>
          <w:spacing w:val="-5"/>
          <w:sz w:val="20"/>
          <w:szCs w:val="20"/>
        </w:rPr>
      </w:pPr>
      <w:r>
        <w:rPr>
          <w:rFonts w:asciiTheme="minorHAnsi" w:eastAsia="Verdana" w:hAnsiTheme="minorHAnsi" w:cstheme="minorHAnsi"/>
          <w:color w:val="000000"/>
          <w:spacing w:val="-5"/>
          <w:sz w:val="20"/>
          <w:szCs w:val="20"/>
        </w:rPr>
        <w:t>Registered Charity No: 1139440</w:t>
      </w: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rsidP="006C317E">
      <w:pPr>
        <w:jc w:val="center"/>
        <w:rPr>
          <w:rFonts w:asciiTheme="minorHAnsi" w:eastAsia="Verdana" w:hAnsiTheme="minorHAnsi" w:cstheme="minorHAnsi"/>
          <w:color w:val="000000"/>
          <w:spacing w:val="-5"/>
          <w:sz w:val="40"/>
          <w:szCs w:val="40"/>
        </w:rPr>
      </w:pPr>
    </w:p>
    <w:p w:rsidR="006C317E" w:rsidRDefault="006C317E">
      <w:pPr>
        <w:rPr>
          <w:rFonts w:asciiTheme="minorHAnsi" w:eastAsia="Verdana" w:hAnsiTheme="minorHAnsi" w:cstheme="minorHAnsi"/>
          <w:color w:val="000000"/>
          <w:spacing w:val="-5"/>
          <w:sz w:val="40"/>
          <w:szCs w:val="40"/>
        </w:rPr>
      </w:pPr>
      <w:r>
        <w:rPr>
          <w:rFonts w:asciiTheme="minorHAnsi" w:eastAsia="Verdana" w:hAnsiTheme="minorHAnsi" w:cstheme="minorHAnsi"/>
          <w:color w:val="000000"/>
          <w:spacing w:val="-5"/>
          <w:sz w:val="40"/>
          <w:szCs w:val="40"/>
        </w:rPr>
        <w:br w:type="page"/>
      </w:r>
    </w:p>
    <w:p w:rsidR="006C317E" w:rsidRDefault="006C317E" w:rsidP="006C317E">
      <w:pPr>
        <w:jc w:val="center"/>
        <w:rPr>
          <w:rFonts w:asciiTheme="minorHAnsi" w:eastAsia="Verdana" w:hAnsiTheme="minorHAnsi" w:cstheme="minorHAnsi"/>
          <w:color w:val="000000"/>
          <w:spacing w:val="-5"/>
          <w:sz w:val="40"/>
          <w:szCs w:val="40"/>
        </w:rPr>
      </w:pPr>
    </w:p>
    <w:p w:rsidR="006C317E" w:rsidRPr="00536CD1" w:rsidRDefault="006C317E" w:rsidP="006C317E">
      <w:pPr>
        <w:jc w:val="center"/>
        <w:rPr>
          <w:rFonts w:asciiTheme="minorHAnsi" w:eastAsia="Verdana" w:hAnsiTheme="minorHAnsi" w:cstheme="minorHAnsi"/>
          <w:color w:val="000000"/>
          <w:spacing w:val="-5"/>
          <w:sz w:val="32"/>
          <w:szCs w:val="32"/>
        </w:rPr>
      </w:pPr>
      <w:r w:rsidRPr="00536CD1">
        <w:rPr>
          <w:rFonts w:asciiTheme="minorHAnsi" w:eastAsia="Verdana" w:hAnsiTheme="minorHAnsi" w:cstheme="minorHAnsi"/>
          <w:b/>
          <w:color w:val="000000"/>
          <w:spacing w:val="-5"/>
          <w:sz w:val="32"/>
          <w:szCs w:val="32"/>
          <w:u w:val="single"/>
        </w:rPr>
        <w:t>Somerville College Gender Pay Gap Report 201</w:t>
      </w:r>
      <w:r w:rsidR="00EF1641">
        <w:rPr>
          <w:rFonts w:asciiTheme="minorHAnsi" w:eastAsia="Verdana" w:hAnsiTheme="minorHAnsi" w:cstheme="minorHAnsi"/>
          <w:b/>
          <w:color w:val="000000"/>
          <w:spacing w:val="-5"/>
          <w:sz w:val="32"/>
          <w:szCs w:val="32"/>
          <w:u w:val="single"/>
        </w:rPr>
        <w:t>9</w:t>
      </w:r>
    </w:p>
    <w:p w:rsidR="006C317E" w:rsidRPr="00536CD1" w:rsidRDefault="006C317E" w:rsidP="006C317E">
      <w:pPr>
        <w:jc w:val="center"/>
        <w:rPr>
          <w:rFonts w:asciiTheme="minorHAnsi" w:eastAsia="Verdana" w:hAnsiTheme="minorHAnsi" w:cstheme="minorHAnsi"/>
          <w:color w:val="000000"/>
          <w:spacing w:val="-5"/>
          <w:sz w:val="24"/>
          <w:szCs w:val="24"/>
        </w:rPr>
      </w:pPr>
    </w:p>
    <w:p w:rsidR="00D844B0" w:rsidRPr="00536CD1" w:rsidRDefault="006C317E"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color w:val="000000"/>
          <w:spacing w:val="-5"/>
          <w:sz w:val="24"/>
          <w:szCs w:val="24"/>
        </w:rPr>
        <w:t>This report contains the statutory disclosure of the gender pay gap for Somerville College for 201</w:t>
      </w:r>
      <w:r w:rsidR="00EF1641">
        <w:rPr>
          <w:rFonts w:asciiTheme="minorHAnsi" w:eastAsia="Verdana" w:hAnsiTheme="minorHAnsi" w:cstheme="minorHAnsi"/>
          <w:color w:val="000000"/>
          <w:spacing w:val="-5"/>
          <w:sz w:val="24"/>
          <w:szCs w:val="24"/>
        </w:rPr>
        <w:t>9</w:t>
      </w:r>
      <w:r w:rsidRPr="00536CD1">
        <w:rPr>
          <w:rFonts w:asciiTheme="minorHAnsi" w:eastAsia="Verdana" w:hAnsiTheme="minorHAnsi" w:cstheme="minorHAnsi"/>
          <w:color w:val="000000"/>
          <w:spacing w:val="-5"/>
          <w:sz w:val="24"/>
          <w:szCs w:val="24"/>
        </w:rPr>
        <w:t>.  The College also discloses additional information voluntarily in relation to its gender pay gap.</w:t>
      </w:r>
    </w:p>
    <w:p w:rsidR="00D844B0" w:rsidRPr="00536CD1" w:rsidRDefault="00D844B0" w:rsidP="00536CD1">
      <w:pPr>
        <w:spacing w:after="120" w:line="276" w:lineRule="auto"/>
        <w:ind w:right="274"/>
        <w:rPr>
          <w:rFonts w:asciiTheme="minorHAnsi" w:eastAsia="Verdana" w:hAnsiTheme="minorHAnsi" w:cstheme="minorHAnsi"/>
          <w:b/>
          <w:color w:val="000000"/>
          <w:spacing w:val="-5"/>
          <w:sz w:val="24"/>
          <w:szCs w:val="24"/>
        </w:rPr>
      </w:pP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b/>
          <w:color w:val="000000"/>
          <w:spacing w:val="-5"/>
          <w:sz w:val="24"/>
          <w:szCs w:val="24"/>
        </w:rPr>
        <w:t>Definition of Gender Pay Gap</w:t>
      </w:r>
    </w:p>
    <w:p w:rsidR="00092B77"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color w:val="000000"/>
          <w:spacing w:val="-5"/>
          <w:sz w:val="24"/>
          <w:szCs w:val="24"/>
        </w:rPr>
        <w:t>The Gender Pay Gap shows the difference</w:t>
      </w:r>
      <w:r w:rsidR="00EF1641">
        <w:rPr>
          <w:rFonts w:asciiTheme="minorHAnsi" w:eastAsia="Verdana" w:hAnsiTheme="minorHAnsi" w:cstheme="minorHAnsi"/>
          <w:color w:val="000000"/>
          <w:spacing w:val="-5"/>
          <w:sz w:val="24"/>
          <w:szCs w:val="24"/>
        </w:rPr>
        <w:t xml:space="preserve"> in</w:t>
      </w:r>
      <w:r w:rsidRPr="00536CD1">
        <w:rPr>
          <w:rFonts w:asciiTheme="minorHAnsi" w:eastAsia="Verdana" w:hAnsiTheme="minorHAnsi" w:cstheme="minorHAnsi"/>
          <w:color w:val="000000"/>
          <w:spacing w:val="-5"/>
          <w:sz w:val="24"/>
          <w:szCs w:val="24"/>
        </w:rPr>
        <w:t xml:space="preserve"> the average hourly rate of pay between men and women.  Because hourly rates are compared, the number of hours worked does not influence the result.  The difference is expressed as a percentage, and a positive pay gap e.g. 15% means that the average hourly rate of pay for men is 15% higher than for women.  A negative figure e.g. -15% would mean that women are paid a higher average hourly rate.</w:t>
      </w:r>
    </w:p>
    <w:p w:rsidR="00EF1641" w:rsidRPr="00536CD1" w:rsidRDefault="00EF1641" w:rsidP="00536CD1">
      <w:pPr>
        <w:spacing w:after="120" w:line="276" w:lineRule="auto"/>
        <w:ind w:left="284" w:right="274"/>
        <w:rPr>
          <w:rFonts w:asciiTheme="minorHAnsi" w:eastAsia="Verdana" w:hAnsiTheme="minorHAnsi" w:cstheme="minorHAnsi"/>
          <w:color w:val="000000"/>
          <w:spacing w:val="-5"/>
          <w:sz w:val="24"/>
          <w:szCs w:val="24"/>
        </w:rPr>
      </w:pPr>
    </w:p>
    <w:p w:rsidR="00092B77" w:rsidRPr="00536CD1" w:rsidRDefault="00536CD1"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i/>
          <w:color w:val="000000"/>
          <w:spacing w:val="-5"/>
          <w:sz w:val="24"/>
          <w:szCs w:val="24"/>
        </w:rPr>
        <w:t>T</w:t>
      </w:r>
      <w:r w:rsidR="00092B77" w:rsidRPr="00536CD1">
        <w:rPr>
          <w:rFonts w:asciiTheme="minorHAnsi" w:eastAsia="Verdana" w:hAnsiTheme="minorHAnsi" w:cstheme="minorHAnsi"/>
          <w:i/>
          <w:color w:val="000000"/>
          <w:spacing w:val="-5"/>
          <w:sz w:val="24"/>
          <w:szCs w:val="24"/>
        </w:rPr>
        <w:t>his is not the same as Equal Pay</w:t>
      </w:r>
      <w:r w:rsidR="00092B77" w:rsidRPr="00536CD1">
        <w:rPr>
          <w:rFonts w:asciiTheme="minorHAnsi" w:eastAsia="Verdana" w:hAnsiTheme="minorHAnsi" w:cstheme="minorHAnsi"/>
          <w:color w:val="000000"/>
          <w:spacing w:val="-5"/>
          <w:sz w:val="24"/>
          <w:szCs w:val="24"/>
        </w:rPr>
        <w:t>.  Equal pay is concerned with the rate of pay between men and women who carry out equal jobs or work of equal value.  It is unlawful to pay people unequally because they are male or female.  Somerville College is confident that our pay policy complies with Equal Pay legislation and that our staff are paid equally for doing equivalent jobs.</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b/>
          <w:color w:val="000000"/>
          <w:spacing w:val="-5"/>
          <w:sz w:val="24"/>
          <w:szCs w:val="24"/>
        </w:rPr>
        <w:t>Scope of the report</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color w:val="000000"/>
          <w:spacing w:val="-5"/>
          <w:sz w:val="24"/>
          <w:szCs w:val="24"/>
        </w:rPr>
        <w:t>The data used to calculate the Gender Pay Gap figures was taken from a snapshot of all of those who were on the College’s payroll for the pay period which covered the 5</w:t>
      </w:r>
      <w:r w:rsidRPr="00536CD1">
        <w:rPr>
          <w:rFonts w:asciiTheme="minorHAnsi" w:eastAsia="Verdana" w:hAnsiTheme="minorHAnsi" w:cstheme="minorHAnsi"/>
          <w:color w:val="000000"/>
          <w:spacing w:val="-5"/>
          <w:sz w:val="24"/>
          <w:szCs w:val="24"/>
          <w:vertAlign w:val="superscript"/>
        </w:rPr>
        <w:t>th</w:t>
      </w:r>
      <w:r w:rsidRPr="00536CD1">
        <w:rPr>
          <w:rFonts w:asciiTheme="minorHAnsi" w:eastAsia="Verdana" w:hAnsiTheme="minorHAnsi" w:cstheme="minorHAnsi"/>
          <w:color w:val="000000"/>
          <w:spacing w:val="-5"/>
          <w:sz w:val="24"/>
          <w:szCs w:val="24"/>
        </w:rPr>
        <w:t xml:space="preserve"> April 201</w:t>
      </w:r>
      <w:r w:rsidR="00EF1641">
        <w:rPr>
          <w:rFonts w:asciiTheme="minorHAnsi" w:eastAsia="Verdana" w:hAnsiTheme="minorHAnsi" w:cstheme="minorHAnsi"/>
          <w:color w:val="000000"/>
          <w:spacing w:val="-5"/>
          <w:sz w:val="24"/>
          <w:szCs w:val="24"/>
        </w:rPr>
        <w:t>9</w:t>
      </w:r>
      <w:r w:rsidRPr="00536CD1">
        <w:rPr>
          <w:rFonts w:asciiTheme="minorHAnsi" w:eastAsia="Verdana" w:hAnsiTheme="minorHAnsi" w:cstheme="minorHAnsi"/>
          <w:color w:val="000000"/>
          <w:spacing w:val="-5"/>
          <w:sz w:val="24"/>
          <w:szCs w:val="24"/>
        </w:rPr>
        <w:t>.  This includes permanent and fixed-term employees, and casual workers.  The data does not include overtime pay or non-cash benefits.  As of 5</w:t>
      </w:r>
      <w:r w:rsidRPr="00536CD1">
        <w:rPr>
          <w:rFonts w:asciiTheme="minorHAnsi" w:eastAsia="Verdana" w:hAnsiTheme="minorHAnsi" w:cstheme="minorHAnsi"/>
          <w:color w:val="000000"/>
          <w:spacing w:val="-5"/>
          <w:sz w:val="24"/>
          <w:szCs w:val="24"/>
          <w:vertAlign w:val="superscript"/>
        </w:rPr>
        <w:t>th</w:t>
      </w:r>
      <w:r w:rsidRPr="00536CD1">
        <w:rPr>
          <w:rFonts w:asciiTheme="minorHAnsi" w:eastAsia="Verdana" w:hAnsiTheme="minorHAnsi" w:cstheme="minorHAnsi"/>
          <w:color w:val="000000"/>
          <w:spacing w:val="-5"/>
          <w:sz w:val="24"/>
          <w:szCs w:val="24"/>
        </w:rPr>
        <w:t xml:space="preserve"> April 201</w:t>
      </w:r>
      <w:r w:rsidR="00EF1641">
        <w:rPr>
          <w:rFonts w:asciiTheme="minorHAnsi" w:eastAsia="Verdana" w:hAnsiTheme="minorHAnsi" w:cstheme="minorHAnsi"/>
          <w:color w:val="000000"/>
          <w:spacing w:val="-5"/>
          <w:sz w:val="24"/>
          <w:szCs w:val="24"/>
        </w:rPr>
        <w:t>9</w:t>
      </w:r>
      <w:r w:rsidRPr="00536CD1">
        <w:rPr>
          <w:rFonts w:asciiTheme="minorHAnsi" w:eastAsia="Verdana" w:hAnsiTheme="minorHAnsi" w:cstheme="minorHAnsi"/>
          <w:color w:val="000000"/>
          <w:spacing w:val="-5"/>
          <w:sz w:val="24"/>
          <w:szCs w:val="24"/>
        </w:rPr>
        <w:t xml:space="preserve"> the College had 2</w:t>
      </w:r>
      <w:r w:rsidR="00EF1641">
        <w:rPr>
          <w:rFonts w:asciiTheme="minorHAnsi" w:eastAsia="Verdana" w:hAnsiTheme="minorHAnsi" w:cstheme="minorHAnsi"/>
          <w:color w:val="000000"/>
          <w:spacing w:val="-5"/>
          <w:sz w:val="24"/>
          <w:szCs w:val="24"/>
        </w:rPr>
        <w:t>90</w:t>
      </w:r>
      <w:r w:rsidRPr="00536CD1">
        <w:rPr>
          <w:rFonts w:asciiTheme="minorHAnsi" w:eastAsia="Verdana" w:hAnsiTheme="minorHAnsi" w:cstheme="minorHAnsi"/>
          <w:color w:val="000000"/>
          <w:spacing w:val="-5"/>
          <w:sz w:val="24"/>
          <w:szCs w:val="24"/>
        </w:rPr>
        <w:t xml:space="preserve"> relevant full-pay employees.</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b/>
          <w:color w:val="000000"/>
          <w:spacing w:val="-5"/>
          <w:sz w:val="24"/>
          <w:szCs w:val="24"/>
        </w:rPr>
        <w:t>Mean and Median</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color w:val="000000"/>
          <w:spacing w:val="-5"/>
          <w:sz w:val="24"/>
          <w:szCs w:val="24"/>
        </w:rPr>
        <w:t>The Gender Pay Gap reporting regulations require date to be analysed using both the mean and the median.</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i/>
          <w:color w:val="000000"/>
          <w:spacing w:val="-5"/>
          <w:sz w:val="24"/>
          <w:szCs w:val="24"/>
        </w:rPr>
        <w:t>The mean hourly rate of pay</w:t>
      </w:r>
      <w:r w:rsidRPr="00536CD1">
        <w:rPr>
          <w:rFonts w:asciiTheme="minorHAnsi" w:eastAsia="Verdana" w:hAnsiTheme="minorHAnsi" w:cstheme="minorHAnsi"/>
          <w:color w:val="000000"/>
          <w:spacing w:val="-5"/>
          <w:sz w:val="24"/>
          <w:szCs w:val="24"/>
        </w:rPr>
        <w:t xml:space="preserve"> is the overall average, and is calculated by adding up all the hourly rates of pay and dividing by the number of people in the whole group.  The mean can be skewed by very high or very low salaries.</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i/>
          <w:color w:val="000000"/>
          <w:spacing w:val="-5"/>
          <w:sz w:val="24"/>
          <w:szCs w:val="24"/>
        </w:rPr>
        <w:t>The median hourly rate of pay</w:t>
      </w:r>
      <w:r w:rsidRPr="00536CD1">
        <w:rPr>
          <w:rFonts w:asciiTheme="minorHAnsi" w:eastAsia="Verdana" w:hAnsiTheme="minorHAnsi" w:cstheme="minorHAnsi"/>
          <w:color w:val="000000"/>
          <w:spacing w:val="-5"/>
          <w:sz w:val="24"/>
          <w:szCs w:val="24"/>
        </w:rPr>
        <w:t xml:space="preserve"> is calculated by listing all the hourly rates from the lowest to the highest, and then finding the one which falls exactly in the middle.  The median is commonly used in analysing salaries because it shows the middle-most salary and is unaffected by extremely high or low outliers.</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p>
    <w:p w:rsidR="00092B77" w:rsidRPr="00536CD1" w:rsidRDefault="00092B77" w:rsidP="00536CD1">
      <w:pPr>
        <w:spacing w:after="120" w:line="276" w:lineRule="auto"/>
        <w:ind w:left="284" w:right="274"/>
        <w:rPr>
          <w:rFonts w:asciiTheme="minorHAnsi" w:eastAsia="Verdana" w:hAnsiTheme="minorHAnsi" w:cstheme="minorHAnsi"/>
          <w:b/>
          <w:color w:val="000000"/>
          <w:spacing w:val="-5"/>
          <w:sz w:val="24"/>
          <w:szCs w:val="24"/>
        </w:rPr>
      </w:pPr>
      <w:r w:rsidRPr="00536CD1">
        <w:rPr>
          <w:rFonts w:asciiTheme="minorHAnsi" w:eastAsia="Verdana" w:hAnsiTheme="minorHAnsi" w:cstheme="minorHAnsi"/>
          <w:b/>
          <w:color w:val="000000"/>
          <w:spacing w:val="-5"/>
          <w:sz w:val="24"/>
          <w:szCs w:val="24"/>
        </w:rPr>
        <w:t>Declaration</w:t>
      </w:r>
    </w:p>
    <w:p w:rsidR="00092B77" w:rsidRPr="00536CD1" w:rsidRDefault="00092B77"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eastAsia="Verdana" w:hAnsiTheme="minorHAnsi" w:cstheme="minorHAnsi"/>
          <w:color w:val="000000"/>
          <w:spacing w:val="-5"/>
          <w:sz w:val="24"/>
          <w:szCs w:val="24"/>
        </w:rPr>
        <w:t>I confirm that the data published in this report is accurate.</w:t>
      </w:r>
    </w:p>
    <w:p w:rsidR="0029389B" w:rsidRPr="00536CD1" w:rsidRDefault="0029389B" w:rsidP="00536CD1">
      <w:pPr>
        <w:spacing w:after="120" w:line="276" w:lineRule="auto"/>
        <w:ind w:left="284" w:right="274"/>
        <w:rPr>
          <w:rFonts w:asciiTheme="minorHAnsi" w:eastAsia="Verdana" w:hAnsiTheme="minorHAnsi" w:cstheme="minorHAnsi"/>
          <w:color w:val="000000"/>
          <w:spacing w:val="-5"/>
          <w:sz w:val="24"/>
          <w:szCs w:val="24"/>
        </w:rPr>
      </w:pPr>
      <w:r w:rsidRPr="00536CD1">
        <w:rPr>
          <w:rFonts w:asciiTheme="minorHAnsi" w:hAnsiTheme="minorHAnsi" w:cstheme="minorHAnsi"/>
          <w:noProof/>
          <w:sz w:val="24"/>
          <w:szCs w:val="24"/>
          <w:lang w:eastAsia="en-GB"/>
        </w:rPr>
        <w:drawing>
          <wp:inline distT="0" distB="0" distL="0" distR="0" wp14:anchorId="681FCF94" wp14:editId="276B4B17">
            <wp:extent cx="1731010" cy="6584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1731010" cy="658495"/>
                    </a:xfrm>
                    <a:prstGeom prst="rect">
                      <a:avLst/>
                    </a:prstGeom>
                  </pic:spPr>
                </pic:pic>
              </a:graphicData>
            </a:graphic>
          </wp:inline>
        </w:drawing>
      </w:r>
    </w:p>
    <w:p w:rsidR="00C74360" w:rsidRPr="00536CD1" w:rsidRDefault="0029389B" w:rsidP="00536CD1">
      <w:pPr>
        <w:spacing w:after="120" w:line="276" w:lineRule="auto"/>
        <w:ind w:left="284" w:right="274"/>
        <w:rPr>
          <w:rFonts w:ascii="Verdana" w:eastAsia="Verdana" w:hAnsi="Verdana"/>
          <w:color w:val="000000"/>
          <w:spacing w:val="-5"/>
        </w:rPr>
      </w:pPr>
      <w:r w:rsidRPr="00536CD1">
        <w:rPr>
          <w:rFonts w:asciiTheme="minorHAnsi" w:eastAsia="Verdana" w:hAnsiTheme="minorHAnsi" w:cstheme="minorHAnsi"/>
          <w:color w:val="000000"/>
          <w:spacing w:val="-5"/>
          <w:sz w:val="24"/>
          <w:szCs w:val="24"/>
        </w:rPr>
        <w:t xml:space="preserve">Baroness Royall of </w:t>
      </w:r>
      <w:proofErr w:type="spellStart"/>
      <w:r w:rsidRPr="00536CD1">
        <w:rPr>
          <w:rFonts w:asciiTheme="minorHAnsi" w:eastAsia="Verdana" w:hAnsiTheme="minorHAnsi" w:cstheme="minorHAnsi"/>
          <w:color w:val="000000"/>
          <w:spacing w:val="-5"/>
          <w:sz w:val="24"/>
          <w:szCs w:val="24"/>
        </w:rPr>
        <w:t>Blaisdon</w:t>
      </w:r>
      <w:proofErr w:type="spellEnd"/>
      <w:r w:rsidRPr="00536CD1">
        <w:rPr>
          <w:rFonts w:asciiTheme="minorHAnsi" w:eastAsia="Verdana" w:hAnsiTheme="minorHAnsi" w:cstheme="minorHAnsi"/>
          <w:color w:val="000000"/>
          <w:spacing w:val="-5"/>
          <w:sz w:val="24"/>
          <w:szCs w:val="24"/>
        </w:rPr>
        <w:t>, Principal</w:t>
      </w:r>
      <w:r>
        <w:rPr>
          <w:rFonts w:ascii="Verdana" w:eastAsia="Verdana" w:hAnsi="Verdana"/>
          <w:color w:val="000000"/>
          <w:spacing w:val="-5"/>
        </w:rPr>
        <w:t>.</w:t>
      </w:r>
    </w:p>
    <w:p w:rsidR="00C74360" w:rsidRDefault="00C74360">
      <w:pPr>
        <w:sectPr w:rsidR="00C74360" w:rsidSect="006C317E">
          <w:pgSz w:w="11904" w:h="16834"/>
          <w:pgMar w:top="542" w:right="587" w:bottom="181" w:left="553" w:header="720" w:footer="720" w:gutter="0"/>
          <w:pgBorders w:offsetFrom="page">
            <w:top w:val="single" w:sz="4" w:space="24" w:color="FF0000"/>
            <w:left w:val="single" w:sz="4" w:space="24" w:color="FF0000"/>
            <w:bottom w:val="single" w:sz="4" w:space="24" w:color="FF0000"/>
            <w:right w:val="single" w:sz="4" w:space="24" w:color="FF0000"/>
          </w:pgBorders>
          <w:cols w:space="720"/>
        </w:sectPr>
      </w:pPr>
    </w:p>
    <w:p w:rsidR="00A22048" w:rsidRPr="004A5907" w:rsidRDefault="00A22048" w:rsidP="00536CD1">
      <w:pPr>
        <w:numPr>
          <w:ilvl w:val="0"/>
          <w:numId w:val="2"/>
        </w:numPr>
        <w:tabs>
          <w:tab w:val="clear" w:pos="360"/>
          <w:tab w:val="left" w:pos="284"/>
          <w:tab w:val="left" w:pos="1368"/>
        </w:tabs>
        <w:spacing w:before="653" w:line="240" w:lineRule="exact"/>
        <w:ind w:left="-284"/>
        <w:textAlignment w:val="baseline"/>
        <w:rPr>
          <w:rFonts w:asciiTheme="minorHAnsi" w:eastAsia="Verdana" w:hAnsiTheme="minorHAnsi" w:cstheme="minorHAnsi"/>
          <w:b/>
          <w:color w:val="000000"/>
          <w:sz w:val="24"/>
          <w:szCs w:val="24"/>
        </w:rPr>
      </w:pPr>
      <w:r w:rsidRPr="004A5907">
        <w:rPr>
          <w:rFonts w:asciiTheme="minorHAnsi" w:eastAsia="Verdana" w:hAnsiTheme="minorHAnsi" w:cstheme="minorHAnsi"/>
          <w:b/>
          <w:color w:val="000000"/>
          <w:sz w:val="24"/>
          <w:szCs w:val="24"/>
          <w:lang w:val="en-US"/>
        </w:rPr>
        <w:t>Mean Gender Pay Gap</w:t>
      </w:r>
    </w:p>
    <w:p w:rsidR="00A22048" w:rsidRPr="004A5907" w:rsidRDefault="00A22048" w:rsidP="00536CD1">
      <w:pPr>
        <w:tabs>
          <w:tab w:val="left" w:pos="284"/>
        </w:tabs>
        <w:spacing w:before="175" w:line="282" w:lineRule="exact"/>
        <w:ind w:left="-284" w:right="1260"/>
        <w:textAlignment w:val="baseline"/>
        <w:rPr>
          <w:rFonts w:asciiTheme="minorHAnsi" w:eastAsia="Verdana" w:hAnsiTheme="minorHAnsi" w:cstheme="minorHAnsi"/>
          <w:color w:val="000000"/>
          <w:sz w:val="24"/>
          <w:szCs w:val="24"/>
        </w:rPr>
      </w:pPr>
      <w:r w:rsidRPr="004A5907">
        <w:rPr>
          <w:rFonts w:asciiTheme="minorHAnsi" w:eastAsia="Verdana" w:hAnsiTheme="minorHAnsi" w:cstheme="minorHAnsi"/>
          <w:color w:val="000000"/>
          <w:sz w:val="24"/>
          <w:szCs w:val="24"/>
          <w:lang w:val="en-US"/>
        </w:rPr>
        <w:t>The mean hourly rate of pay for our male employees is £</w:t>
      </w:r>
      <w:r w:rsidR="00EF1641">
        <w:rPr>
          <w:rFonts w:asciiTheme="minorHAnsi" w:eastAsia="Verdana" w:hAnsiTheme="minorHAnsi" w:cstheme="minorHAnsi"/>
          <w:color w:val="000000"/>
          <w:sz w:val="24"/>
          <w:szCs w:val="24"/>
          <w:lang w:val="en-US"/>
        </w:rPr>
        <w:t>18.52</w:t>
      </w:r>
      <w:r w:rsidRPr="004A5907">
        <w:rPr>
          <w:rFonts w:asciiTheme="minorHAnsi" w:eastAsia="Verdana" w:hAnsiTheme="minorHAnsi" w:cstheme="minorHAnsi"/>
          <w:color w:val="000000"/>
          <w:sz w:val="24"/>
          <w:szCs w:val="24"/>
          <w:lang w:val="en-US"/>
        </w:rPr>
        <w:t>. The mean hourly rate of pay for our female employees is £17.</w:t>
      </w:r>
      <w:r w:rsidR="00EF1641">
        <w:rPr>
          <w:rFonts w:asciiTheme="minorHAnsi" w:eastAsia="Verdana" w:hAnsiTheme="minorHAnsi" w:cstheme="minorHAnsi"/>
          <w:color w:val="000000"/>
          <w:sz w:val="24"/>
          <w:szCs w:val="24"/>
          <w:lang w:val="en-US"/>
        </w:rPr>
        <w:t>45</w:t>
      </w:r>
      <w:r w:rsidRPr="004A5907">
        <w:rPr>
          <w:rFonts w:asciiTheme="minorHAnsi" w:eastAsia="Verdana" w:hAnsiTheme="minorHAnsi" w:cstheme="minorHAnsi"/>
          <w:color w:val="000000"/>
          <w:sz w:val="24"/>
          <w:szCs w:val="24"/>
          <w:lang w:val="en-US"/>
        </w:rPr>
        <w:t>.</w:t>
      </w:r>
    </w:p>
    <w:p w:rsidR="00A22048" w:rsidRDefault="00A22048" w:rsidP="00536CD1">
      <w:pPr>
        <w:tabs>
          <w:tab w:val="left" w:pos="284"/>
        </w:tabs>
        <w:spacing w:before="206" w:line="250" w:lineRule="exact"/>
        <w:ind w:left="-284"/>
        <w:textAlignment w:val="baseline"/>
        <w:rPr>
          <w:rFonts w:asciiTheme="minorHAnsi" w:eastAsia="Verdana" w:hAnsiTheme="minorHAnsi" w:cstheme="minorHAnsi"/>
          <w:color w:val="000000"/>
          <w:sz w:val="24"/>
          <w:szCs w:val="24"/>
          <w:lang w:val="en-US"/>
        </w:rPr>
      </w:pPr>
      <w:r w:rsidRPr="004A5907">
        <w:rPr>
          <w:rFonts w:asciiTheme="minorHAnsi" w:eastAsia="Verdana" w:hAnsiTheme="minorHAnsi" w:cstheme="minorHAnsi"/>
          <w:color w:val="000000"/>
          <w:sz w:val="24"/>
          <w:szCs w:val="24"/>
          <w:lang w:val="en-US"/>
        </w:rPr>
        <w:t xml:space="preserve">The mean gender gay gap therefore equates to </w:t>
      </w:r>
      <w:r w:rsidR="00EF1641">
        <w:rPr>
          <w:rFonts w:asciiTheme="minorHAnsi" w:eastAsia="Verdana" w:hAnsiTheme="minorHAnsi" w:cstheme="minorHAnsi"/>
          <w:color w:val="000000"/>
          <w:sz w:val="24"/>
          <w:szCs w:val="24"/>
          <w:lang w:val="en-US"/>
        </w:rPr>
        <w:t>5.8</w:t>
      </w:r>
      <w:r w:rsidRPr="004A5907">
        <w:rPr>
          <w:rFonts w:asciiTheme="minorHAnsi" w:eastAsia="Verdana" w:hAnsiTheme="minorHAnsi" w:cstheme="minorHAnsi"/>
          <w:color w:val="000000"/>
          <w:sz w:val="24"/>
          <w:szCs w:val="24"/>
          <w:lang w:val="en-US"/>
        </w:rPr>
        <w:t>% (the gap in 201</w:t>
      </w:r>
      <w:r w:rsidR="00EF1641">
        <w:rPr>
          <w:rFonts w:asciiTheme="minorHAnsi" w:eastAsia="Verdana" w:hAnsiTheme="minorHAnsi" w:cstheme="minorHAnsi"/>
          <w:color w:val="000000"/>
          <w:sz w:val="24"/>
          <w:szCs w:val="24"/>
          <w:lang w:val="en-US"/>
        </w:rPr>
        <w:t>8</w:t>
      </w:r>
      <w:r w:rsidRPr="004A5907">
        <w:rPr>
          <w:rFonts w:asciiTheme="minorHAnsi" w:eastAsia="Verdana" w:hAnsiTheme="minorHAnsi" w:cstheme="minorHAnsi"/>
          <w:color w:val="000000"/>
          <w:sz w:val="24"/>
          <w:szCs w:val="24"/>
          <w:lang w:val="en-US"/>
        </w:rPr>
        <w:t xml:space="preserve"> was </w:t>
      </w:r>
      <w:r w:rsidR="00EF1641">
        <w:rPr>
          <w:rFonts w:asciiTheme="minorHAnsi" w:eastAsia="Verdana" w:hAnsiTheme="minorHAnsi" w:cstheme="minorHAnsi"/>
          <w:color w:val="000000"/>
          <w:sz w:val="24"/>
          <w:szCs w:val="24"/>
          <w:lang w:val="en-US"/>
        </w:rPr>
        <w:t>10.2</w:t>
      </w:r>
      <w:r w:rsidRPr="004A5907">
        <w:rPr>
          <w:rFonts w:asciiTheme="minorHAnsi" w:eastAsia="Verdana" w:hAnsiTheme="minorHAnsi" w:cstheme="minorHAnsi"/>
          <w:color w:val="000000"/>
          <w:sz w:val="24"/>
          <w:szCs w:val="24"/>
          <w:lang w:val="en-US"/>
        </w:rPr>
        <w:t>%).</w:t>
      </w:r>
    </w:p>
    <w:p w:rsidR="00A22048" w:rsidRDefault="00A22048" w:rsidP="00536CD1">
      <w:pPr>
        <w:tabs>
          <w:tab w:val="left" w:pos="284"/>
        </w:tabs>
        <w:spacing w:before="206" w:line="250" w:lineRule="exact"/>
        <w:ind w:left="-284"/>
        <w:textAlignment w:val="baseline"/>
        <w:rPr>
          <w:rFonts w:asciiTheme="minorHAnsi" w:eastAsia="Verdana" w:hAnsiTheme="minorHAnsi" w:cstheme="minorHAnsi"/>
          <w:color w:val="000000"/>
          <w:sz w:val="24"/>
          <w:szCs w:val="24"/>
          <w:lang w:val="en-US"/>
        </w:rPr>
      </w:pPr>
    </w:p>
    <w:p w:rsidR="00A22048" w:rsidRDefault="00A22048" w:rsidP="00536CD1">
      <w:pPr>
        <w:pStyle w:val="ListParagraph"/>
        <w:numPr>
          <w:ilvl w:val="0"/>
          <w:numId w:val="2"/>
        </w:numPr>
        <w:tabs>
          <w:tab w:val="clear" w:pos="360"/>
          <w:tab w:val="left" w:pos="284"/>
          <w:tab w:val="left" w:pos="426"/>
        </w:tabs>
        <w:spacing w:before="206" w:line="250" w:lineRule="exact"/>
        <w:ind w:left="-284"/>
        <w:textAlignment w:val="baseline"/>
        <w:rPr>
          <w:rFonts w:asciiTheme="minorHAnsi" w:eastAsia="Verdana" w:hAnsiTheme="minorHAnsi" w:cstheme="minorHAnsi"/>
          <w:b/>
          <w:color w:val="000000"/>
          <w:sz w:val="24"/>
          <w:szCs w:val="24"/>
        </w:rPr>
      </w:pPr>
      <w:r>
        <w:rPr>
          <w:rFonts w:asciiTheme="minorHAnsi" w:eastAsia="Verdana" w:hAnsiTheme="minorHAnsi" w:cstheme="minorHAnsi"/>
          <w:b/>
          <w:color w:val="000000"/>
          <w:sz w:val="24"/>
          <w:szCs w:val="24"/>
        </w:rPr>
        <w:t>Median Gender Pay Gap</w:t>
      </w:r>
    </w:p>
    <w:p w:rsidR="00A22048" w:rsidRDefault="00A22048" w:rsidP="00536CD1">
      <w:pPr>
        <w:tabs>
          <w:tab w:val="left" w:pos="284"/>
          <w:tab w:val="left" w:pos="426"/>
        </w:tabs>
        <w:spacing w:before="206" w:line="250" w:lineRule="exact"/>
        <w:ind w:left="-284"/>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The median hourly rate of pay for our male employees is £</w:t>
      </w:r>
      <w:r w:rsidR="00EF1641">
        <w:rPr>
          <w:rFonts w:asciiTheme="minorHAnsi" w:eastAsia="Verdana" w:hAnsiTheme="minorHAnsi" w:cstheme="minorHAnsi"/>
          <w:color w:val="000000"/>
          <w:sz w:val="24"/>
          <w:szCs w:val="24"/>
        </w:rPr>
        <w:t>15.48</w:t>
      </w:r>
      <w:r>
        <w:rPr>
          <w:rFonts w:asciiTheme="minorHAnsi" w:eastAsia="Verdana" w:hAnsiTheme="minorHAnsi" w:cstheme="minorHAnsi"/>
          <w:color w:val="000000"/>
          <w:sz w:val="24"/>
          <w:szCs w:val="24"/>
        </w:rPr>
        <w:t>; for female employees it is £13.</w:t>
      </w:r>
      <w:r w:rsidR="00EF1641">
        <w:rPr>
          <w:rFonts w:asciiTheme="minorHAnsi" w:eastAsia="Verdana" w:hAnsiTheme="minorHAnsi" w:cstheme="minorHAnsi"/>
          <w:color w:val="000000"/>
          <w:sz w:val="24"/>
          <w:szCs w:val="24"/>
        </w:rPr>
        <w:t>68</w:t>
      </w:r>
      <w:r>
        <w:rPr>
          <w:rFonts w:asciiTheme="minorHAnsi" w:eastAsia="Verdana" w:hAnsiTheme="minorHAnsi" w:cstheme="minorHAnsi"/>
          <w:color w:val="000000"/>
          <w:sz w:val="24"/>
          <w:szCs w:val="24"/>
        </w:rPr>
        <w:t xml:space="preserve">.  </w:t>
      </w:r>
    </w:p>
    <w:p w:rsidR="00A22048" w:rsidRDefault="00A22048" w:rsidP="00536CD1">
      <w:pPr>
        <w:tabs>
          <w:tab w:val="left" w:pos="284"/>
          <w:tab w:val="left" w:pos="426"/>
        </w:tabs>
        <w:spacing w:before="206" w:line="250" w:lineRule="exact"/>
        <w:ind w:left="-284"/>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 xml:space="preserve">The median gender pay gap therefore equates to </w:t>
      </w:r>
      <w:r w:rsidR="00EF1641">
        <w:rPr>
          <w:rFonts w:asciiTheme="minorHAnsi" w:eastAsia="Verdana" w:hAnsiTheme="minorHAnsi" w:cstheme="minorHAnsi"/>
          <w:color w:val="000000"/>
          <w:sz w:val="24"/>
          <w:szCs w:val="24"/>
        </w:rPr>
        <w:t>11.6</w:t>
      </w:r>
      <w:r>
        <w:rPr>
          <w:rFonts w:asciiTheme="minorHAnsi" w:eastAsia="Verdana" w:hAnsiTheme="minorHAnsi" w:cstheme="minorHAnsi"/>
          <w:color w:val="000000"/>
          <w:sz w:val="24"/>
          <w:szCs w:val="24"/>
        </w:rPr>
        <w:t>% (the gap in 201</w:t>
      </w:r>
      <w:r w:rsidR="00EF1641">
        <w:rPr>
          <w:rFonts w:asciiTheme="minorHAnsi" w:eastAsia="Verdana" w:hAnsiTheme="minorHAnsi" w:cstheme="minorHAnsi"/>
          <w:color w:val="000000"/>
          <w:sz w:val="24"/>
          <w:szCs w:val="24"/>
        </w:rPr>
        <w:t>8</w:t>
      </w:r>
      <w:r>
        <w:rPr>
          <w:rFonts w:asciiTheme="minorHAnsi" w:eastAsia="Verdana" w:hAnsiTheme="minorHAnsi" w:cstheme="minorHAnsi"/>
          <w:color w:val="000000"/>
          <w:sz w:val="24"/>
          <w:szCs w:val="24"/>
        </w:rPr>
        <w:t xml:space="preserve"> was </w:t>
      </w:r>
      <w:r w:rsidR="00EF1641">
        <w:rPr>
          <w:rFonts w:asciiTheme="minorHAnsi" w:eastAsia="Verdana" w:hAnsiTheme="minorHAnsi" w:cstheme="minorHAnsi"/>
          <w:color w:val="000000"/>
          <w:sz w:val="24"/>
          <w:szCs w:val="24"/>
        </w:rPr>
        <w:t>18.5</w:t>
      </w:r>
      <w:r>
        <w:rPr>
          <w:rFonts w:asciiTheme="minorHAnsi" w:eastAsia="Verdana" w:hAnsiTheme="minorHAnsi" w:cstheme="minorHAnsi"/>
          <w:color w:val="000000"/>
          <w:sz w:val="24"/>
          <w:szCs w:val="24"/>
        </w:rPr>
        <w:t>%).</w:t>
      </w:r>
    </w:p>
    <w:p w:rsidR="00A22048" w:rsidRPr="00A22048" w:rsidRDefault="00A22048" w:rsidP="00536CD1">
      <w:pPr>
        <w:tabs>
          <w:tab w:val="left" w:pos="284"/>
          <w:tab w:val="left" w:pos="426"/>
        </w:tabs>
        <w:spacing w:before="206" w:line="250" w:lineRule="exact"/>
        <w:ind w:left="-284"/>
        <w:textAlignment w:val="baseline"/>
        <w:rPr>
          <w:rFonts w:asciiTheme="minorHAnsi" w:eastAsia="Verdana" w:hAnsiTheme="minorHAnsi" w:cstheme="minorHAnsi"/>
          <w:color w:val="000000"/>
          <w:sz w:val="24"/>
          <w:szCs w:val="24"/>
        </w:rPr>
      </w:pPr>
    </w:p>
    <w:p w:rsidR="00A22048" w:rsidRDefault="00A22048" w:rsidP="00536CD1">
      <w:pPr>
        <w:pStyle w:val="ListParagraph"/>
        <w:numPr>
          <w:ilvl w:val="0"/>
          <w:numId w:val="2"/>
        </w:numPr>
        <w:tabs>
          <w:tab w:val="clear" w:pos="360"/>
          <w:tab w:val="left" w:pos="284"/>
        </w:tabs>
        <w:spacing w:before="206" w:line="250" w:lineRule="exact"/>
        <w:ind w:left="-284"/>
        <w:textAlignment w:val="baseline"/>
        <w:rPr>
          <w:rFonts w:asciiTheme="minorHAnsi" w:eastAsia="Verdana" w:hAnsiTheme="minorHAnsi" w:cstheme="minorHAnsi"/>
          <w:b/>
          <w:color w:val="000000"/>
          <w:sz w:val="24"/>
          <w:szCs w:val="24"/>
        </w:rPr>
      </w:pPr>
      <w:r>
        <w:rPr>
          <w:rFonts w:asciiTheme="minorHAnsi" w:eastAsia="Verdana" w:hAnsiTheme="minorHAnsi" w:cstheme="minorHAnsi"/>
          <w:b/>
          <w:color w:val="000000"/>
          <w:sz w:val="24"/>
          <w:szCs w:val="24"/>
        </w:rPr>
        <w:t>Mean Gender Bonus Pay Gap</w:t>
      </w:r>
    </w:p>
    <w:p w:rsidR="00A22048" w:rsidRDefault="00A22048" w:rsidP="00536CD1">
      <w:pPr>
        <w:tabs>
          <w:tab w:val="left" w:pos="284"/>
        </w:tabs>
        <w:spacing w:before="206" w:line="250" w:lineRule="exact"/>
        <w:ind w:left="-284"/>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 xml:space="preserve">The mean gender bonus pay gap is </w:t>
      </w:r>
      <w:r w:rsidR="00EF1641">
        <w:rPr>
          <w:rFonts w:asciiTheme="minorHAnsi" w:eastAsia="Verdana" w:hAnsiTheme="minorHAnsi" w:cstheme="minorHAnsi"/>
          <w:color w:val="000000"/>
          <w:sz w:val="24"/>
          <w:szCs w:val="24"/>
        </w:rPr>
        <w:t>25.9</w:t>
      </w:r>
      <w:r>
        <w:rPr>
          <w:rFonts w:asciiTheme="minorHAnsi" w:eastAsia="Verdana" w:hAnsiTheme="minorHAnsi" w:cstheme="minorHAnsi"/>
          <w:color w:val="000000"/>
          <w:sz w:val="24"/>
          <w:szCs w:val="24"/>
        </w:rPr>
        <w:t>%.</w:t>
      </w:r>
    </w:p>
    <w:p w:rsidR="00A22048" w:rsidRDefault="00A22048" w:rsidP="00536CD1">
      <w:pPr>
        <w:tabs>
          <w:tab w:val="left" w:pos="284"/>
        </w:tabs>
        <w:spacing w:before="206" w:line="250" w:lineRule="exact"/>
        <w:ind w:left="-284"/>
        <w:textAlignment w:val="baseline"/>
        <w:rPr>
          <w:rFonts w:asciiTheme="minorHAnsi" w:eastAsia="Verdana" w:hAnsiTheme="minorHAnsi" w:cstheme="minorHAnsi"/>
          <w:color w:val="000000"/>
          <w:sz w:val="24"/>
          <w:szCs w:val="24"/>
        </w:rPr>
      </w:pPr>
    </w:p>
    <w:p w:rsidR="00A22048" w:rsidRPr="00A22048" w:rsidRDefault="00A22048" w:rsidP="00536CD1">
      <w:pPr>
        <w:pStyle w:val="ListParagraph"/>
        <w:numPr>
          <w:ilvl w:val="0"/>
          <w:numId w:val="2"/>
        </w:numPr>
        <w:tabs>
          <w:tab w:val="clear" w:pos="360"/>
          <w:tab w:val="left" w:pos="284"/>
        </w:tabs>
        <w:spacing w:before="206" w:line="250" w:lineRule="exact"/>
        <w:ind w:left="-284"/>
        <w:textAlignment w:val="baseline"/>
        <w:rPr>
          <w:rFonts w:asciiTheme="minorHAnsi" w:eastAsia="Verdana" w:hAnsiTheme="minorHAnsi" w:cstheme="minorHAnsi"/>
          <w:b/>
          <w:color w:val="000000"/>
          <w:sz w:val="24"/>
          <w:szCs w:val="24"/>
        </w:rPr>
      </w:pPr>
      <w:r w:rsidRPr="00A22048">
        <w:rPr>
          <w:rFonts w:asciiTheme="minorHAnsi" w:eastAsia="Verdana" w:hAnsiTheme="minorHAnsi" w:cstheme="minorHAnsi"/>
          <w:b/>
          <w:color w:val="000000"/>
          <w:sz w:val="24"/>
          <w:szCs w:val="24"/>
        </w:rPr>
        <w:t>Median Gender Bonus Pay Gap</w:t>
      </w:r>
    </w:p>
    <w:p w:rsidR="00A22048" w:rsidRDefault="00D7531C" w:rsidP="00536CD1">
      <w:pPr>
        <w:tabs>
          <w:tab w:val="left" w:pos="284"/>
        </w:tabs>
        <w:spacing w:before="206" w:line="250" w:lineRule="exact"/>
        <w:ind w:left="-284"/>
        <w:textAlignment w:val="baseline"/>
        <w:rPr>
          <w:rFonts w:asciiTheme="minorHAnsi" w:eastAsia="Verdana" w:hAnsiTheme="minorHAnsi" w:cstheme="minorHAnsi"/>
          <w:color w:val="000000"/>
          <w:sz w:val="24"/>
          <w:szCs w:val="24"/>
        </w:rPr>
      </w:pPr>
      <w:r w:rsidRPr="00D7531C">
        <w:rPr>
          <w:rFonts w:asciiTheme="minorHAnsi" w:eastAsia="Verdana" w:hAnsiTheme="minorHAnsi" w:cstheme="minorHAnsi"/>
          <w:color w:val="000000"/>
          <w:sz w:val="24"/>
          <w:szCs w:val="24"/>
        </w:rPr>
        <w:t>T</w:t>
      </w:r>
      <w:r w:rsidR="00EF1641">
        <w:rPr>
          <w:rFonts w:asciiTheme="minorHAnsi" w:eastAsia="Verdana" w:hAnsiTheme="minorHAnsi" w:cstheme="minorHAnsi"/>
          <w:color w:val="000000"/>
          <w:sz w:val="24"/>
          <w:szCs w:val="24"/>
        </w:rPr>
        <w:t>he median gender bonus pay gap is</w:t>
      </w:r>
      <w:r w:rsidRPr="00D7531C">
        <w:rPr>
          <w:rFonts w:asciiTheme="minorHAnsi" w:eastAsia="Verdana" w:hAnsiTheme="minorHAnsi" w:cstheme="minorHAnsi"/>
          <w:color w:val="000000"/>
          <w:sz w:val="24"/>
          <w:szCs w:val="24"/>
        </w:rPr>
        <w:t xml:space="preserve"> </w:t>
      </w:r>
      <w:r w:rsidR="00EF1641">
        <w:rPr>
          <w:rFonts w:asciiTheme="minorHAnsi" w:eastAsia="Verdana" w:hAnsiTheme="minorHAnsi" w:cstheme="minorHAnsi"/>
          <w:color w:val="000000"/>
          <w:sz w:val="24"/>
          <w:szCs w:val="24"/>
        </w:rPr>
        <w:t>33.3</w:t>
      </w:r>
      <w:r w:rsidRPr="00D7531C">
        <w:rPr>
          <w:rFonts w:asciiTheme="minorHAnsi" w:eastAsia="Verdana" w:hAnsiTheme="minorHAnsi" w:cstheme="minorHAnsi"/>
          <w:color w:val="000000"/>
          <w:sz w:val="24"/>
          <w:szCs w:val="24"/>
        </w:rPr>
        <w:t>%.</w:t>
      </w:r>
    </w:p>
    <w:p w:rsidR="00C34BE7" w:rsidRDefault="00C34BE7" w:rsidP="00536CD1">
      <w:pPr>
        <w:tabs>
          <w:tab w:val="left" w:pos="284"/>
        </w:tabs>
        <w:spacing w:before="206" w:line="250" w:lineRule="exact"/>
        <w:ind w:left="-284"/>
        <w:textAlignment w:val="baseline"/>
        <w:rPr>
          <w:rFonts w:asciiTheme="minorHAnsi" w:eastAsia="Verdana" w:hAnsiTheme="minorHAnsi" w:cstheme="minorHAnsi"/>
          <w:color w:val="000000"/>
          <w:sz w:val="24"/>
          <w:szCs w:val="24"/>
        </w:rPr>
      </w:pPr>
    </w:p>
    <w:p w:rsidR="00C34BE7" w:rsidRDefault="00C34BE7" w:rsidP="00536CD1">
      <w:pPr>
        <w:pStyle w:val="ListParagraph"/>
        <w:numPr>
          <w:ilvl w:val="0"/>
          <w:numId w:val="2"/>
        </w:numPr>
        <w:tabs>
          <w:tab w:val="clear" w:pos="360"/>
          <w:tab w:val="left" w:pos="284"/>
        </w:tabs>
        <w:spacing w:before="206" w:line="250" w:lineRule="exact"/>
        <w:ind w:left="-284"/>
        <w:textAlignment w:val="baseline"/>
        <w:rPr>
          <w:rFonts w:asciiTheme="minorHAnsi" w:eastAsia="Verdana" w:hAnsiTheme="minorHAnsi" w:cstheme="minorHAnsi"/>
          <w:color w:val="000000"/>
          <w:sz w:val="24"/>
          <w:szCs w:val="24"/>
        </w:rPr>
      </w:pPr>
      <w:r>
        <w:rPr>
          <w:rFonts w:asciiTheme="minorHAnsi" w:eastAsia="Verdana" w:hAnsiTheme="minorHAnsi" w:cstheme="minorHAnsi"/>
          <w:b/>
          <w:color w:val="000000"/>
          <w:sz w:val="24"/>
          <w:szCs w:val="24"/>
        </w:rPr>
        <w:t>The proportion of men and women receiving a bonus</w:t>
      </w:r>
    </w:p>
    <w:p w:rsidR="00C34BE7" w:rsidRDefault="00EF1641" w:rsidP="00536CD1">
      <w:pPr>
        <w:tabs>
          <w:tab w:val="left" w:pos="284"/>
        </w:tabs>
        <w:spacing w:before="206" w:line="250" w:lineRule="exact"/>
        <w:ind w:left="-284"/>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4.7</w:t>
      </w:r>
      <w:r w:rsidR="00C34BE7">
        <w:rPr>
          <w:rFonts w:asciiTheme="minorHAnsi" w:eastAsia="Verdana" w:hAnsiTheme="minorHAnsi" w:cstheme="minorHAnsi"/>
          <w:color w:val="000000"/>
          <w:sz w:val="24"/>
          <w:szCs w:val="24"/>
        </w:rPr>
        <w:t>% of mal</w:t>
      </w:r>
      <w:r w:rsidR="00657288">
        <w:rPr>
          <w:rFonts w:asciiTheme="minorHAnsi" w:eastAsia="Verdana" w:hAnsiTheme="minorHAnsi" w:cstheme="minorHAnsi"/>
          <w:color w:val="000000"/>
          <w:sz w:val="24"/>
          <w:szCs w:val="24"/>
        </w:rPr>
        <w:t>e employees received a bonus; 11</w:t>
      </w:r>
      <w:r>
        <w:rPr>
          <w:rFonts w:asciiTheme="minorHAnsi" w:eastAsia="Verdana" w:hAnsiTheme="minorHAnsi" w:cstheme="minorHAnsi"/>
          <w:color w:val="000000"/>
          <w:sz w:val="24"/>
          <w:szCs w:val="24"/>
        </w:rPr>
        <w:t>.0</w:t>
      </w:r>
      <w:r w:rsidR="00C34BE7">
        <w:rPr>
          <w:rFonts w:asciiTheme="minorHAnsi" w:eastAsia="Verdana" w:hAnsiTheme="minorHAnsi" w:cstheme="minorHAnsi"/>
          <w:color w:val="000000"/>
          <w:sz w:val="24"/>
          <w:szCs w:val="24"/>
        </w:rPr>
        <w:t>% of female employees received a bonus.</w:t>
      </w:r>
    </w:p>
    <w:p w:rsidR="00C34BE7" w:rsidRDefault="00C34BE7" w:rsidP="00536CD1">
      <w:pPr>
        <w:tabs>
          <w:tab w:val="left" w:pos="284"/>
        </w:tabs>
        <w:spacing w:before="206" w:line="250" w:lineRule="exact"/>
        <w:ind w:left="-284"/>
        <w:textAlignment w:val="baseline"/>
        <w:rPr>
          <w:rFonts w:asciiTheme="minorHAnsi" w:eastAsia="Verdana" w:hAnsiTheme="minorHAnsi" w:cstheme="minorHAnsi"/>
          <w:color w:val="000000"/>
          <w:sz w:val="24"/>
          <w:szCs w:val="24"/>
        </w:rPr>
      </w:pPr>
    </w:p>
    <w:p w:rsidR="00C34BE7" w:rsidRPr="00C34BE7" w:rsidRDefault="00C34BE7" w:rsidP="00536CD1">
      <w:pPr>
        <w:pStyle w:val="ListParagraph"/>
        <w:numPr>
          <w:ilvl w:val="0"/>
          <w:numId w:val="2"/>
        </w:numPr>
        <w:tabs>
          <w:tab w:val="clear" w:pos="360"/>
          <w:tab w:val="left" w:pos="284"/>
        </w:tabs>
        <w:spacing w:before="206" w:line="250" w:lineRule="exact"/>
        <w:ind w:left="-284"/>
        <w:textAlignment w:val="baseline"/>
        <w:rPr>
          <w:rFonts w:asciiTheme="minorHAnsi" w:eastAsia="Verdana" w:hAnsiTheme="minorHAnsi" w:cstheme="minorHAnsi"/>
          <w:color w:val="000000"/>
          <w:sz w:val="24"/>
          <w:szCs w:val="24"/>
        </w:rPr>
      </w:pPr>
      <w:r>
        <w:rPr>
          <w:rFonts w:asciiTheme="minorHAnsi" w:eastAsia="Verdana" w:hAnsiTheme="minorHAnsi" w:cstheme="minorHAnsi"/>
          <w:b/>
          <w:color w:val="000000"/>
          <w:sz w:val="24"/>
          <w:szCs w:val="24"/>
        </w:rPr>
        <w:t>The proportion of males and females in quartile pay bands</w:t>
      </w:r>
    </w:p>
    <w:p w:rsidR="00C34BE7" w:rsidRPr="00C34BE7" w:rsidRDefault="00C34BE7" w:rsidP="00C34BE7">
      <w:pPr>
        <w:pStyle w:val="ListParagraph"/>
        <w:spacing w:before="206" w:line="250" w:lineRule="exact"/>
        <w:ind w:left="0"/>
        <w:textAlignment w:val="baseline"/>
        <w:rPr>
          <w:rFonts w:asciiTheme="minorHAnsi" w:eastAsia="Verdana" w:hAnsiTheme="minorHAnsi" w:cstheme="minorHAnsi"/>
          <w:color w:val="000000"/>
          <w:sz w:val="24"/>
          <w:szCs w:val="24"/>
        </w:rPr>
      </w:pPr>
    </w:p>
    <w:tbl>
      <w:tblPr>
        <w:tblStyle w:val="TableGrid"/>
        <w:tblW w:w="10490" w:type="dxa"/>
        <w:tblInd w:w="-596" w:type="dxa"/>
        <w:tblLook w:val="04A0" w:firstRow="1" w:lastRow="0" w:firstColumn="1" w:lastColumn="0" w:noHBand="0" w:noVBand="1"/>
      </w:tblPr>
      <w:tblGrid>
        <w:gridCol w:w="2836"/>
        <w:gridCol w:w="1417"/>
        <w:gridCol w:w="1528"/>
        <w:gridCol w:w="1591"/>
        <w:gridCol w:w="1559"/>
        <w:gridCol w:w="1559"/>
      </w:tblGrid>
      <w:tr w:rsidR="00C34BE7" w:rsidTr="00C34BE7">
        <w:trPr>
          <w:trHeight w:val="699"/>
        </w:trPr>
        <w:tc>
          <w:tcPr>
            <w:tcW w:w="2836" w:type="dxa"/>
            <w:tcBorders>
              <w:top w:val="nil"/>
              <w:left w:val="nil"/>
              <w:right w:val="single" w:sz="4" w:space="0" w:color="FFFFFF" w:themeColor="background1"/>
            </w:tcBorders>
            <w:shd w:val="clear" w:color="auto" w:fill="D9E2F3" w:themeFill="accent1" w:themeFillTint="33"/>
            <w:vAlign w:val="center"/>
          </w:tcPr>
          <w:p w:rsidR="004A5907" w:rsidRDefault="004A5907" w:rsidP="00D83608">
            <w:pPr>
              <w:textAlignment w:val="baseline"/>
              <w:rPr>
                <w:rFonts w:asciiTheme="minorHAnsi" w:eastAsia="Arial" w:hAnsiTheme="minorHAnsi" w:cstheme="minorHAnsi"/>
                <w:b/>
                <w:color w:val="000000"/>
                <w:spacing w:val="-5"/>
                <w:sz w:val="24"/>
                <w:szCs w:val="24"/>
                <w:lang w:val="en-US"/>
              </w:rPr>
            </w:pPr>
            <w:r>
              <w:rPr>
                <w:rFonts w:asciiTheme="minorHAnsi" w:eastAsia="Arial" w:hAnsiTheme="minorHAnsi" w:cstheme="minorHAnsi"/>
                <w:b/>
                <w:color w:val="000000"/>
                <w:spacing w:val="-5"/>
                <w:sz w:val="24"/>
                <w:szCs w:val="24"/>
                <w:lang w:val="en-US"/>
              </w:rPr>
              <w:t>Quartile</w:t>
            </w:r>
          </w:p>
        </w:tc>
        <w:tc>
          <w:tcPr>
            <w:tcW w:w="1417" w:type="dxa"/>
            <w:tcBorders>
              <w:top w:val="nil"/>
              <w:left w:val="single" w:sz="4" w:space="0" w:color="FFFFFF" w:themeColor="background1"/>
              <w:right w:val="single" w:sz="4" w:space="0" w:color="FFFFFF" w:themeColor="background1"/>
            </w:tcBorders>
            <w:shd w:val="clear" w:color="auto" w:fill="D9E2F3" w:themeFill="accent1" w:themeFillTint="33"/>
            <w:vAlign w:val="center"/>
          </w:tcPr>
          <w:p w:rsidR="004A5907" w:rsidRDefault="004A5907" w:rsidP="00D83608">
            <w:pPr>
              <w:jc w:val="center"/>
              <w:textAlignment w:val="baseline"/>
              <w:rPr>
                <w:rFonts w:asciiTheme="minorHAnsi" w:eastAsia="Arial" w:hAnsiTheme="minorHAnsi" w:cstheme="minorHAnsi"/>
                <w:b/>
                <w:color w:val="000000"/>
                <w:spacing w:val="-5"/>
                <w:sz w:val="24"/>
                <w:szCs w:val="24"/>
                <w:lang w:val="en-US"/>
              </w:rPr>
            </w:pPr>
            <w:r>
              <w:rPr>
                <w:rFonts w:asciiTheme="minorHAnsi" w:eastAsia="Arial" w:hAnsiTheme="minorHAnsi" w:cstheme="minorHAnsi"/>
                <w:b/>
                <w:color w:val="000000"/>
                <w:spacing w:val="-5"/>
                <w:sz w:val="24"/>
                <w:szCs w:val="24"/>
                <w:lang w:val="en-US"/>
              </w:rPr>
              <w:t>Men</w:t>
            </w:r>
          </w:p>
        </w:tc>
        <w:tc>
          <w:tcPr>
            <w:tcW w:w="1528" w:type="dxa"/>
            <w:tcBorders>
              <w:top w:val="nil"/>
              <w:left w:val="single" w:sz="4" w:space="0" w:color="FFFFFF" w:themeColor="background1"/>
              <w:right w:val="single" w:sz="4" w:space="0" w:color="FFFFFF" w:themeColor="background1"/>
            </w:tcBorders>
            <w:shd w:val="clear" w:color="auto" w:fill="D9E2F3" w:themeFill="accent1" w:themeFillTint="33"/>
            <w:vAlign w:val="center"/>
          </w:tcPr>
          <w:p w:rsidR="004A5907" w:rsidRDefault="004A5907" w:rsidP="00D83608">
            <w:pPr>
              <w:jc w:val="center"/>
              <w:textAlignment w:val="baseline"/>
              <w:rPr>
                <w:rFonts w:asciiTheme="minorHAnsi" w:eastAsia="Arial" w:hAnsiTheme="minorHAnsi" w:cstheme="minorHAnsi"/>
                <w:b/>
                <w:color w:val="000000"/>
                <w:spacing w:val="-5"/>
                <w:sz w:val="24"/>
                <w:szCs w:val="24"/>
                <w:lang w:val="en-US"/>
              </w:rPr>
            </w:pPr>
            <w:r>
              <w:rPr>
                <w:rFonts w:asciiTheme="minorHAnsi" w:eastAsia="Arial" w:hAnsiTheme="minorHAnsi" w:cstheme="minorHAnsi"/>
                <w:b/>
                <w:color w:val="000000"/>
                <w:spacing w:val="-5"/>
                <w:sz w:val="24"/>
                <w:szCs w:val="24"/>
                <w:lang w:val="en-US"/>
              </w:rPr>
              <w:t>Women</w:t>
            </w:r>
          </w:p>
        </w:tc>
        <w:tc>
          <w:tcPr>
            <w:tcW w:w="1591" w:type="dxa"/>
            <w:tcBorders>
              <w:top w:val="nil"/>
              <w:left w:val="single" w:sz="4" w:space="0" w:color="FFFFFF" w:themeColor="background1"/>
              <w:right w:val="single" w:sz="4" w:space="0" w:color="FFFFFF" w:themeColor="background1"/>
            </w:tcBorders>
            <w:shd w:val="clear" w:color="auto" w:fill="D9E2F3" w:themeFill="accent1" w:themeFillTint="33"/>
            <w:vAlign w:val="center"/>
          </w:tcPr>
          <w:p w:rsidR="004A5907" w:rsidRDefault="004A5907" w:rsidP="00D83608">
            <w:pPr>
              <w:jc w:val="center"/>
              <w:textAlignment w:val="baseline"/>
              <w:rPr>
                <w:rFonts w:asciiTheme="minorHAnsi" w:eastAsia="Arial" w:hAnsiTheme="minorHAnsi" w:cstheme="minorHAnsi"/>
                <w:b/>
                <w:color w:val="000000"/>
                <w:spacing w:val="-5"/>
                <w:sz w:val="24"/>
                <w:szCs w:val="24"/>
                <w:lang w:val="en-US"/>
              </w:rPr>
            </w:pPr>
            <w:r>
              <w:rPr>
                <w:rFonts w:asciiTheme="minorHAnsi" w:eastAsia="Arial" w:hAnsiTheme="minorHAnsi" w:cstheme="minorHAnsi"/>
                <w:b/>
                <w:color w:val="000000"/>
                <w:spacing w:val="-5"/>
                <w:sz w:val="24"/>
                <w:szCs w:val="24"/>
                <w:lang w:val="en-US"/>
              </w:rPr>
              <w:t>Number in Quartile</w:t>
            </w:r>
          </w:p>
        </w:tc>
        <w:tc>
          <w:tcPr>
            <w:tcW w:w="1559" w:type="dxa"/>
            <w:tcBorders>
              <w:top w:val="nil"/>
              <w:left w:val="single" w:sz="4" w:space="0" w:color="FFFFFF" w:themeColor="background1"/>
              <w:right w:val="single" w:sz="4" w:space="0" w:color="FFFFFF" w:themeColor="background1"/>
            </w:tcBorders>
            <w:shd w:val="clear" w:color="auto" w:fill="D9E2F3" w:themeFill="accent1" w:themeFillTint="33"/>
            <w:vAlign w:val="center"/>
          </w:tcPr>
          <w:p w:rsidR="004A5907" w:rsidRDefault="004A5907" w:rsidP="00D83608">
            <w:pPr>
              <w:jc w:val="center"/>
              <w:textAlignment w:val="baseline"/>
              <w:rPr>
                <w:rFonts w:asciiTheme="minorHAnsi" w:eastAsia="Arial" w:hAnsiTheme="minorHAnsi" w:cstheme="minorHAnsi"/>
                <w:b/>
                <w:color w:val="000000"/>
                <w:spacing w:val="-5"/>
                <w:sz w:val="24"/>
                <w:szCs w:val="24"/>
                <w:lang w:val="en-US"/>
              </w:rPr>
            </w:pPr>
            <w:r>
              <w:rPr>
                <w:rFonts w:asciiTheme="minorHAnsi" w:eastAsia="Arial" w:hAnsiTheme="minorHAnsi" w:cstheme="minorHAnsi"/>
                <w:b/>
                <w:color w:val="000000"/>
                <w:spacing w:val="-5"/>
                <w:sz w:val="24"/>
                <w:szCs w:val="24"/>
                <w:lang w:val="en-US"/>
              </w:rPr>
              <w:t>% Male</w:t>
            </w:r>
          </w:p>
        </w:tc>
        <w:tc>
          <w:tcPr>
            <w:tcW w:w="1559" w:type="dxa"/>
            <w:tcBorders>
              <w:top w:val="nil"/>
              <w:left w:val="single" w:sz="4" w:space="0" w:color="FFFFFF" w:themeColor="background1"/>
              <w:right w:val="nil"/>
            </w:tcBorders>
            <w:shd w:val="clear" w:color="auto" w:fill="D9E2F3" w:themeFill="accent1" w:themeFillTint="33"/>
            <w:vAlign w:val="center"/>
          </w:tcPr>
          <w:p w:rsidR="004A5907" w:rsidRDefault="004A5907" w:rsidP="00D83608">
            <w:pPr>
              <w:jc w:val="center"/>
              <w:textAlignment w:val="baseline"/>
              <w:rPr>
                <w:rFonts w:asciiTheme="minorHAnsi" w:eastAsia="Arial" w:hAnsiTheme="minorHAnsi" w:cstheme="minorHAnsi"/>
                <w:b/>
                <w:color w:val="000000"/>
                <w:spacing w:val="-5"/>
                <w:sz w:val="24"/>
                <w:szCs w:val="24"/>
                <w:lang w:val="en-US"/>
              </w:rPr>
            </w:pPr>
            <w:r>
              <w:rPr>
                <w:rFonts w:asciiTheme="minorHAnsi" w:eastAsia="Arial" w:hAnsiTheme="minorHAnsi" w:cstheme="minorHAnsi"/>
                <w:b/>
                <w:color w:val="000000"/>
                <w:spacing w:val="-5"/>
                <w:sz w:val="24"/>
                <w:szCs w:val="24"/>
                <w:lang w:val="en-US"/>
              </w:rPr>
              <w:t>% Female</w:t>
            </w:r>
          </w:p>
        </w:tc>
      </w:tr>
      <w:tr w:rsidR="00EF1641" w:rsidTr="00D9079F">
        <w:trPr>
          <w:trHeight w:val="510"/>
        </w:trPr>
        <w:tc>
          <w:tcPr>
            <w:tcW w:w="2836" w:type="dxa"/>
            <w:tcBorders>
              <w:left w:val="single" w:sz="4" w:space="0" w:color="FFFFFF"/>
              <w:right w:val="single" w:sz="4" w:space="0" w:color="FFFFFF"/>
            </w:tcBorders>
            <w:vAlign w:val="center"/>
          </w:tcPr>
          <w:p w:rsidR="00EF1641" w:rsidRPr="00D83608" w:rsidRDefault="00EF1641" w:rsidP="00EF1641">
            <w:pPr>
              <w:textAlignment w:val="baseline"/>
              <w:rPr>
                <w:rFonts w:asciiTheme="minorHAnsi" w:eastAsia="Arial" w:hAnsiTheme="minorHAnsi" w:cstheme="minorHAnsi"/>
                <w:color w:val="000000"/>
                <w:spacing w:val="-5"/>
                <w:sz w:val="24"/>
                <w:szCs w:val="24"/>
                <w:lang w:val="en-US"/>
              </w:rPr>
            </w:pPr>
            <w:r w:rsidRPr="00D83608">
              <w:rPr>
                <w:rFonts w:asciiTheme="minorHAnsi" w:eastAsia="Arial" w:hAnsiTheme="minorHAnsi" w:cstheme="minorHAnsi"/>
                <w:color w:val="000000"/>
                <w:spacing w:val="-5"/>
                <w:sz w:val="24"/>
                <w:szCs w:val="24"/>
                <w:lang w:val="en-US"/>
              </w:rPr>
              <w:t>Lower (0-25%)</w:t>
            </w:r>
          </w:p>
        </w:tc>
        <w:tc>
          <w:tcPr>
            <w:tcW w:w="1417"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21</w:t>
            </w:r>
          </w:p>
        </w:tc>
        <w:tc>
          <w:tcPr>
            <w:tcW w:w="1528"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51</w:t>
            </w:r>
          </w:p>
        </w:tc>
        <w:tc>
          <w:tcPr>
            <w:tcW w:w="1591"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72</w:t>
            </w:r>
          </w:p>
        </w:tc>
        <w:tc>
          <w:tcPr>
            <w:tcW w:w="1559" w:type="dxa"/>
            <w:tcBorders>
              <w:left w:val="single" w:sz="4" w:space="0" w:color="FFFFFF"/>
              <w:right w:val="single" w:sz="4" w:space="0" w:color="FFFFFF"/>
            </w:tcBorders>
            <w:vAlign w:val="center"/>
          </w:tcPr>
          <w:p w:rsidR="00EF1641" w:rsidRPr="00536CD1" w:rsidRDefault="003F66ED" w:rsidP="00EF164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29.2</w:t>
            </w:r>
            <w:r w:rsidR="00EF1641">
              <w:rPr>
                <w:rFonts w:asciiTheme="minorHAnsi" w:eastAsia="Arial" w:hAnsiTheme="minorHAnsi" w:cstheme="minorHAnsi"/>
                <w:color w:val="000000"/>
                <w:spacing w:val="-5"/>
                <w:lang w:val="en-US"/>
              </w:rPr>
              <w:t>%</w:t>
            </w:r>
          </w:p>
        </w:tc>
        <w:tc>
          <w:tcPr>
            <w:tcW w:w="1559" w:type="dxa"/>
            <w:tcBorders>
              <w:left w:val="single" w:sz="4" w:space="0" w:color="FFFFFF"/>
              <w:right w:val="single" w:sz="4" w:space="0" w:color="FFFFFF"/>
            </w:tcBorders>
            <w:vAlign w:val="center"/>
          </w:tcPr>
          <w:p w:rsidR="00EF1641" w:rsidRPr="00536CD1" w:rsidRDefault="003F66ED" w:rsidP="00EF164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70.8</w:t>
            </w:r>
            <w:r w:rsidR="00EF1641">
              <w:rPr>
                <w:rFonts w:asciiTheme="minorHAnsi" w:eastAsia="Arial" w:hAnsiTheme="minorHAnsi" w:cstheme="minorHAnsi"/>
                <w:color w:val="000000"/>
                <w:spacing w:val="-5"/>
                <w:lang w:val="en-US"/>
              </w:rPr>
              <w:t>%</w:t>
            </w:r>
          </w:p>
        </w:tc>
      </w:tr>
      <w:tr w:rsidR="00EF1641" w:rsidTr="00D9079F">
        <w:trPr>
          <w:trHeight w:val="510"/>
        </w:trPr>
        <w:tc>
          <w:tcPr>
            <w:tcW w:w="2836" w:type="dxa"/>
            <w:tcBorders>
              <w:left w:val="single" w:sz="4" w:space="0" w:color="FFFFFF"/>
              <w:right w:val="single" w:sz="4" w:space="0" w:color="FFFFFF"/>
            </w:tcBorders>
            <w:vAlign w:val="center"/>
          </w:tcPr>
          <w:p w:rsidR="00EF1641" w:rsidRPr="00D83608" w:rsidRDefault="00EF1641" w:rsidP="00EF1641">
            <w:pPr>
              <w:textAlignment w:val="baseline"/>
              <w:rPr>
                <w:rFonts w:asciiTheme="minorHAnsi" w:eastAsia="Arial" w:hAnsiTheme="minorHAnsi" w:cstheme="minorHAnsi"/>
                <w:color w:val="000000"/>
                <w:spacing w:val="-5"/>
                <w:sz w:val="24"/>
                <w:szCs w:val="24"/>
                <w:lang w:val="en-US"/>
              </w:rPr>
            </w:pPr>
            <w:r w:rsidRPr="00D83608">
              <w:rPr>
                <w:rFonts w:asciiTheme="minorHAnsi" w:eastAsia="Arial" w:hAnsiTheme="minorHAnsi" w:cstheme="minorHAnsi"/>
                <w:color w:val="000000"/>
                <w:spacing w:val="-5"/>
                <w:sz w:val="24"/>
                <w:szCs w:val="24"/>
                <w:lang w:val="en-US"/>
              </w:rPr>
              <w:t>Lower middle (26-50%</w:t>
            </w:r>
          </w:p>
        </w:tc>
        <w:tc>
          <w:tcPr>
            <w:tcW w:w="1417"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41</w:t>
            </w:r>
          </w:p>
        </w:tc>
        <w:tc>
          <w:tcPr>
            <w:tcW w:w="1528"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32</w:t>
            </w:r>
          </w:p>
        </w:tc>
        <w:tc>
          <w:tcPr>
            <w:tcW w:w="1591"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73</w:t>
            </w:r>
          </w:p>
        </w:tc>
        <w:tc>
          <w:tcPr>
            <w:tcW w:w="1559" w:type="dxa"/>
            <w:tcBorders>
              <w:left w:val="single" w:sz="4" w:space="0" w:color="FFFFFF"/>
              <w:right w:val="single" w:sz="4" w:space="0" w:color="FFFFFF"/>
            </w:tcBorders>
            <w:vAlign w:val="center"/>
          </w:tcPr>
          <w:p w:rsidR="00EF1641" w:rsidRPr="00536CD1" w:rsidRDefault="003F66ED" w:rsidP="00EF164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56.2</w:t>
            </w:r>
            <w:r w:rsidR="00EF1641">
              <w:rPr>
                <w:rFonts w:asciiTheme="minorHAnsi" w:eastAsia="Arial" w:hAnsiTheme="minorHAnsi" w:cstheme="minorHAnsi"/>
                <w:color w:val="000000"/>
                <w:spacing w:val="-5"/>
                <w:lang w:val="en-US"/>
              </w:rPr>
              <w:t>%</w:t>
            </w:r>
          </w:p>
        </w:tc>
        <w:tc>
          <w:tcPr>
            <w:tcW w:w="1559" w:type="dxa"/>
            <w:tcBorders>
              <w:left w:val="single" w:sz="4" w:space="0" w:color="FFFFFF"/>
              <w:right w:val="single" w:sz="4" w:space="0" w:color="FFFFFF"/>
            </w:tcBorders>
            <w:vAlign w:val="center"/>
          </w:tcPr>
          <w:p w:rsidR="00EF1641" w:rsidRPr="00536CD1" w:rsidRDefault="003F66ED" w:rsidP="00EF164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43.8</w:t>
            </w:r>
            <w:r w:rsidR="00EF1641">
              <w:rPr>
                <w:rFonts w:asciiTheme="minorHAnsi" w:eastAsia="Arial" w:hAnsiTheme="minorHAnsi" w:cstheme="minorHAnsi"/>
                <w:color w:val="000000"/>
                <w:spacing w:val="-5"/>
                <w:lang w:val="en-US"/>
              </w:rPr>
              <w:t>%</w:t>
            </w:r>
          </w:p>
        </w:tc>
      </w:tr>
      <w:tr w:rsidR="00EF1641" w:rsidTr="00D9079F">
        <w:trPr>
          <w:trHeight w:val="510"/>
        </w:trPr>
        <w:tc>
          <w:tcPr>
            <w:tcW w:w="2836" w:type="dxa"/>
            <w:tcBorders>
              <w:left w:val="single" w:sz="4" w:space="0" w:color="FFFFFF"/>
              <w:right w:val="single" w:sz="4" w:space="0" w:color="FFFFFF"/>
            </w:tcBorders>
            <w:vAlign w:val="center"/>
          </w:tcPr>
          <w:p w:rsidR="00EF1641" w:rsidRPr="00D83608" w:rsidRDefault="00EF1641" w:rsidP="00EF1641">
            <w:pPr>
              <w:textAlignment w:val="baseline"/>
              <w:rPr>
                <w:rFonts w:asciiTheme="minorHAnsi" w:eastAsia="Arial" w:hAnsiTheme="minorHAnsi" w:cstheme="minorHAnsi"/>
                <w:color w:val="000000"/>
                <w:spacing w:val="-5"/>
                <w:sz w:val="24"/>
                <w:szCs w:val="24"/>
                <w:lang w:val="en-US"/>
              </w:rPr>
            </w:pPr>
            <w:r w:rsidRPr="00D83608">
              <w:rPr>
                <w:rFonts w:asciiTheme="minorHAnsi" w:eastAsia="Arial" w:hAnsiTheme="minorHAnsi" w:cstheme="minorHAnsi"/>
                <w:color w:val="000000"/>
                <w:spacing w:val="-5"/>
                <w:sz w:val="24"/>
                <w:szCs w:val="24"/>
                <w:lang w:val="en-US"/>
              </w:rPr>
              <w:t>Upper middle (51-75%)</w:t>
            </w:r>
          </w:p>
        </w:tc>
        <w:tc>
          <w:tcPr>
            <w:tcW w:w="1417"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38</w:t>
            </w:r>
          </w:p>
        </w:tc>
        <w:tc>
          <w:tcPr>
            <w:tcW w:w="1528" w:type="dxa"/>
            <w:tcBorders>
              <w:left w:val="single" w:sz="4" w:space="0" w:color="FFFFFF"/>
              <w:right w:val="single" w:sz="4" w:space="0" w:color="FFFFFF"/>
            </w:tcBorders>
            <w:vAlign w:val="bottom"/>
          </w:tcPr>
          <w:p w:rsidR="00EF1641" w:rsidRDefault="00EF1641" w:rsidP="003F66ED">
            <w:pPr>
              <w:jc w:val="center"/>
              <w:rPr>
                <w:rFonts w:ascii="Calibri" w:hAnsi="Calibri" w:cs="Calibri"/>
                <w:color w:val="000000"/>
              </w:rPr>
            </w:pPr>
            <w:r>
              <w:rPr>
                <w:rFonts w:ascii="Calibri" w:hAnsi="Calibri" w:cs="Calibri"/>
                <w:color w:val="000000"/>
              </w:rPr>
              <w:t>3</w:t>
            </w:r>
            <w:r w:rsidR="003F66ED">
              <w:rPr>
                <w:rFonts w:ascii="Calibri" w:hAnsi="Calibri" w:cs="Calibri"/>
                <w:color w:val="000000"/>
              </w:rPr>
              <w:t>5</w:t>
            </w:r>
          </w:p>
        </w:tc>
        <w:tc>
          <w:tcPr>
            <w:tcW w:w="1591"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73</w:t>
            </w:r>
          </w:p>
        </w:tc>
        <w:tc>
          <w:tcPr>
            <w:tcW w:w="1559" w:type="dxa"/>
            <w:tcBorders>
              <w:left w:val="single" w:sz="4" w:space="0" w:color="FFFFFF"/>
              <w:right w:val="single" w:sz="4" w:space="0" w:color="FFFFFF"/>
            </w:tcBorders>
            <w:vAlign w:val="center"/>
          </w:tcPr>
          <w:p w:rsidR="00EF1641" w:rsidRPr="00536CD1" w:rsidRDefault="00EF1641" w:rsidP="003F66ED">
            <w:pPr>
              <w:jc w:val="center"/>
              <w:textAlignment w:val="baseline"/>
              <w:rPr>
                <w:rFonts w:asciiTheme="minorHAnsi" w:eastAsia="Arial" w:hAnsiTheme="minorHAnsi" w:cstheme="minorHAnsi"/>
                <w:color w:val="000000"/>
                <w:spacing w:val="-5"/>
                <w:lang w:val="en-US"/>
              </w:rPr>
            </w:pPr>
            <w:r w:rsidRPr="00536CD1">
              <w:rPr>
                <w:rFonts w:asciiTheme="minorHAnsi" w:eastAsia="Arial" w:hAnsiTheme="minorHAnsi" w:cstheme="minorHAnsi"/>
                <w:color w:val="000000"/>
                <w:spacing w:val="-5"/>
                <w:lang w:val="en-US"/>
              </w:rPr>
              <w:t>52.</w:t>
            </w:r>
            <w:r w:rsidR="003F66ED">
              <w:rPr>
                <w:rFonts w:asciiTheme="minorHAnsi" w:eastAsia="Arial" w:hAnsiTheme="minorHAnsi" w:cstheme="minorHAnsi"/>
                <w:color w:val="000000"/>
                <w:spacing w:val="-5"/>
                <w:lang w:val="en-US"/>
              </w:rPr>
              <w:t>0</w:t>
            </w:r>
            <w:r>
              <w:rPr>
                <w:rFonts w:asciiTheme="minorHAnsi" w:eastAsia="Arial" w:hAnsiTheme="minorHAnsi" w:cstheme="minorHAnsi"/>
                <w:color w:val="000000"/>
                <w:spacing w:val="-5"/>
                <w:lang w:val="en-US"/>
              </w:rPr>
              <w:t>%</w:t>
            </w:r>
          </w:p>
        </w:tc>
        <w:tc>
          <w:tcPr>
            <w:tcW w:w="1559" w:type="dxa"/>
            <w:tcBorders>
              <w:left w:val="single" w:sz="4" w:space="0" w:color="FFFFFF"/>
              <w:right w:val="single" w:sz="4" w:space="0" w:color="FFFFFF"/>
            </w:tcBorders>
            <w:vAlign w:val="center"/>
          </w:tcPr>
          <w:p w:rsidR="00EF1641" w:rsidRPr="00536CD1" w:rsidRDefault="003F66ED" w:rsidP="00EF164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48.0</w:t>
            </w:r>
            <w:r w:rsidR="00EF1641">
              <w:rPr>
                <w:rFonts w:asciiTheme="minorHAnsi" w:eastAsia="Arial" w:hAnsiTheme="minorHAnsi" w:cstheme="minorHAnsi"/>
                <w:color w:val="000000"/>
                <w:spacing w:val="-5"/>
                <w:lang w:val="en-US"/>
              </w:rPr>
              <w:t>%</w:t>
            </w:r>
          </w:p>
        </w:tc>
      </w:tr>
      <w:tr w:rsidR="00EF1641" w:rsidTr="00D9079F">
        <w:trPr>
          <w:trHeight w:val="510"/>
        </w:trPr>
        <w:tc>
          <w:tcPr>
            <w:tcW w:w="2836" w:type="dxa"/>
            <w:tcBorders>
              <w:left w:val="single" w:sz="4" w:space="0" w:color="FFFFFF"/>
              <w:right w:val="single" w:sz="4" w:space="0" w:color="FFFFFF"/>
            </w:tcBorders>
            <w:vAlign w:val="center"/>
          </w:tcPr>
          <w:p w:rsidR="00EF1641" w:rsidRPr="00D83608" w:rsidRDefault="00EF1641" w:rsidP="00EF1641">
            <w:pPr>
              <w:textAlignment w:val="baseline"/>
              <w:rPr>
                <w:rFonts w:asciiTheme="minorHAnsi" w:eastAsia="Arial" w:hAnsiTheme="minorHAnsi" w:cstheme="minorHAnsi"/>
                <w:color w:val="000000"/>
                <w:spacing w:val="-5"/>
                <w:sz w:val="24"/>
                <w:szCs w:val="24"/>
                <w:lang w:val="en-US"/>
              </w:rPr>
            </w:pPr>
            <w:r w:rsidRPr="00D83608">
              <w:rPr>
                <w:rFonts w:asciiTheme="minorHAnsi" w:eastAsia="Arial" w:hAnsiTheme="minorHAnsi" w:cstheme="minorHAnsi"/>
                <w:color w:val="000000"/>
                <w:spacing w:val="-5"/>
                <w:sz w:val="24"/>
                <w:szCs w:val="24"/>
                <w:lang w:val="en-US"/>
              </w:rPr>
              <w:t>Upper (76-100%)</w:t>
            </w:r>
          </w:p>
        </w:tc>
        <w:tc>
          <w:tcPr>
            <w:tcW w:w="1417" w:type="dxa"/>
            <w:tcBorders>
              <w:left w:val="single" w:sz="4" w:space="0" w:color="FFFFFF"/>
              <w:right w:val="single" w:sz="4" w:space="0" w:color="FFFFFF"/>
            </w:tcBorders>
            <w:vAlign w:val="bottom"/>
          </w:tcPr>
          <w:p w:rsidR="00EF1641" w:rsidRDefault="00EF1641" w:rsidP="003F66ED">
            <w:pPr>
              <w:jc w:val="center"/>
              <w:rPr>
                <w:rFonts w:ascii="Calibri" w:hAnsi="Calibri" w:cs="Calibri"/>
                <w:color w:val="000000"/>
              </w:rPr>
            </w:pPr>
            <w:r>
              <w:rPr>
                <w:rFonts w:ascii="Calibri" w:hAnsi="Calibri" w:cs="Calibri"/>
                <w:color w:val="000000"/>
              </w:rPr>
              <w:t>3</w:t>
            </w:r>
            <w:r w:rsidR="003F66ED">
              <w:rPr>
                <w:rFonts w:ascii="Calibri" w:hAnsi="Calibri" w:cs="Calibri"/>
                <w:color w:val="000000"/>
              </w:rPr>
              <w:t>3</w:t>
            </w:r>
          </w:p>
        </w:tc>
        <w:tc>
          <w:tcPr>
            <w:tcW w:w="1528" w:type="dxa"/>
            <w:tcBorders>
              <w:left w:val="single" w:sz="4" w:space="0" w:color="FFFFFF"/>
              <w:right w:val="single" w:sz="4" w:space="0" w:color="FFFFFF"/>
            </w:tcBorders>
            <w:vAlign w:val="bottom"/>
          </w:tcPr>
          <w:p w:rsidR="00EF1641" w:rsidRDefault="00EF1641" w:rsidP="003F66ED">
            <w:pPr>
              <w:jc w:val="center"/>
              <w:rPr>
                <w:rFonts w:ascii="Calibri" w:hAnsi="Calibri" w:cs="Calibri"/>
                <w:color w:val="000000"/>
              </w:rPr>
            </w:pPr>
            <w:r>
              <w:rPr>
                <w:rFonts w:ascii="Calibri" w:hAnsi="Calibri" w:cs="Calibri"/>
                <w:color w:val="000000"/>
              </w:rPr>
              <w:t>3</w:t>
            </w:r>
            <w:r w:rsidR="003F66ED">
              <w:rPr>
                <w:rFonts w:ascii="Calibri" w:hAnsi="Calibri" w:cs="Calibri"/>
                <w:color w:val="000000"/>
              </w:rPr>
              <w:t>9</w:t>
            </w:r>
          </w:p>
        </w:tc>
        <w:tc>
          <w:tcPr>
            <w:tcW w:w="1591" w:type="dxa"/>
            <w:tcBorders>
              <w:left w:val="single" w:sz="4" w:space="0" w:color="FFFFFF"/>
              <w:right w:val="single" w:sz="4" w:space="0" w:color="FFFFFF"/>
            </w:tcBorders>
            <w:vAlign w:val="bottom"/>
          </w:tcPr>
          <w:p w:rsidR="00EF1641" w:rsidRDefault="003F66ED" w:rsidP="003F66ED">
            <w:pPr>
              <w:jc w:val="center"/>
              <w:rPr>
                <w:rFonts w:ascii="Calibri" w:hAnsi="Calibri" w:cs="Calibri"/>
                <w:color w:val="000000"/>
              </w:rPr>
            </w:pPr>
            <w:r>
              <w:rPr>
                <w:rFonts w:ascii="Calibri" w:hAnsi="Calibri" w:cs="Calibri"/>
                <w:color w:val="000000"/>
              </w:rPr>
              <w:t>72</w:t>
            </w:r>
          </w:p>
        </w:tc>
        <w:tc>
          <w:tcPr>
            <w:tcW w:w="1559" w:type="dxa"/>
            <w:tcBorders>
              <w:left w:val="single" w:sz="4" w:space="0" w:color="FFFFFF"/>
              <w:right w:val="single" w:sz="4" w:space="0" w:color="FFFFFF"/>
            </w:tcBorders>
            <w:vAlign w:val="center"/>
          </w:tcPr>
          <w:p w:rsidR="00EF1641" w:rsidRPr="00536CD1" w:rsidRDefault="003F66ED" w:rsidP="00EF164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45.8</w:t>
            </w:r>
            <w:r w:rsidR="00EF1641">
              <w:rPr>
                <w:rFonts w:asciiTheme="minorHAnsi" w:eastAsia="Arial" w:hAnsiTheme="minorHAnsi" w:cstheme="minorHAnsi"/>
                <w:color w:val="000000"/>
                <w:spacing w:val="-5"/>
                <w:lang w:val="en-US"/>
              </w:rPr>
              <w:t>%</w:t>
            </w:r>
          </w:p>
        </w:tc>
        <w:tc>
          <w:tcPr>
            <w:tcW w:w="1559" w:type="dxa"/>
            <w:tcBorders>
              <w:left w:val="single" w:sz="4" w:space="0" w:color="FFFFFF"/>
              <w:right w:val="single" w:sz="4" w:space="0" w:color="FFFFFF"/>
            </w:tcBorders>
            <w:vAlign w:val="center"/>
          </w:tcPr>
          <w:p w:rsidR="00EF1641" w:rsidRPr="00536CD1" w:rsidRDefault="003F66ED" w:rsidP="00EF164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54.2</w:t>
            </w:r>
            <w:r w:rsidR="00EF1641">
              <w:rPr>
                <w:rFonts w:asciiTheme="minorHAnsi" w:eastAsia="Arial" w:hAnsiTheme="minorHAnsi" w:cstheme="minorHAnsi"/>
                <w:color w:val="000000"/>
                <w:spacing w:val="-5"/>
                <w:lang w:val="en-US"/>
              </w:rPr>
              <w:t>%</w:t>
            </w:r>
          </w:p>
        </w:tc>
      </w:tr>
      <w:tr w:rsidR="00D83608" w:rsidTr="00C34BE7">
        <w:trPr>
          <w:trHeight w:val="510"/>
        </w:trPr>
        <w:tc>
          <w:tcPr>
            <w:tcW w:w="2836" w:type="dxa"/>
            <w:tcBorders>
              <w:left w:val="single" w:sz="4" w:space="0" w:color="FFFFFF"/>
              <w:right w:val="single" w:sz="4" w:space="0" w:color="FFFFFF"/>
            </w:tcBorders>
            <w:vAlign w:val="center"/>
          </w:tcPr>
          <w:p w:rsidR="00D83608" w:rsidRPr="00D83608" w:rsidRDefault="00D83608" w:rsidP="00D83608">
            <w:pPr>
              <w:textAlignment w:val="baseline"/>
              <w:rPr>
                <w:rFonts w:asciiTheme="minorHAnsi" w:eastAsia="Arial" w:hAnsiTheme="minorHAnsi" w:cstheme="minorHAnsi"/>
                <w:color w:val="000000"/>
                <w:spacing w:val="-5"/>
                <w:sz w:val="24"/>
                <w:szCs w:val="24"/>
                <w:lang w:val="en-US"/>
              </w:rPr>
            </w:pPr>
            <w:r>
              <w:rPr>
                <w:rFonts w:asciiTheme="minorHAnsi" w:eastAsia="Arial" w:hAnsiTheme="minorHAnsi" w:cstheme="minorHAnsi"/>
                <w:color w:val="000000"/>
                <w:spacing w:val="-5"/>
                <w:sz w:val="24"/>
                <w:szCs w:val="24"/>
                <w:lang w:val="en-US"/>
              </w:rPr>
              <w:t>Total number of</w:t>
            </w:r>
            <w:r w:rsidR="00C34BE7">
              <w:rPr>
                <w:rFonts w:asciiTheme="minorHAnsi" w:eastAsia="Arial" w:hAnsiTheme="minorHAnsi" w:cstheme="minorHAnsi"/>
                <w:color w:val="000000"/>
                <w:spacing w:val="-5"/>
                <w:sz w:val="24"/>
                <w:szCs w:val="24"/>
                <w:lang w:val="en-US"/>
              </w:rPr>
              <w:t xml:space="preserve"> </w:t>
            </w:r>
            <w:r>
              <w:rPr>
                <w:rFonts w:asciiTheme="minorHAnsi" w:eastAsia="Arial" w:hAnsiTheme="minorHAnsi" w:cstheme="minorHAnsi"/>
                <w:color w:val="000000"/>
                <w:spacing w:val="-5"/>
                <w:sz w:val="24"/>
                <w:szCs w:val="24"/>
                <w:lang w:val="en-US"/>
              </w:rPr>
              <w:t>staff</w:t>
            </w:r>
          </w:p>
        </w:tc>
        <w:tc>
          <w:tcPr>
            <w:tcW w:w="1417" w:type="dxa"/>
            <w:tcBorders>
              <w:left w:val="single" w:sz="4" w:space="0" w:color="FFFFFF"/>
              <w:right w:val="single" w:sz="4" w:space="0" w:color="FFFFFF"/>
            </w:tcBorders>
            <w:vAlign w:val="center"/>
          </w:tcPr>
          <w:p w:rsidR="00D83608" w:rsidRPr="00536CD1" w:rsidRDefault="003F66ED" w:rsidP="00D83608">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133</w:t>
            </w:r>
          </w:p>
        </w:tc>
        <w:tc>
          <w:tcPr>
            <w:tcW w:w="1528" w:type="dxa"/>
            <w:tcBorders>
              <w:left w:val="single" w:sz="4" w:space="0" w:color="FFFFFF"/>
              <w:right w:val="single" w:sz="4" w:space="0" w:color="FFFFFF"/>
            </w:tcBorders>
            <w:vAlign w:val="center"/>
          </w:tcPr>
          <w:p w:rsidR="00D83608" w:rsidRPr="00536CD1" w:rsidRDefault="00D83608" w:rsidP="003F66ED">
            <w:pPr>
              <w:jc w:val="center"/>
              <w:textAlignment w:val="baseline"/>
              <w:rPr>
                <w:rFonts w:asciiTheme="minorHAnsi" w:eastAsia="Arial" w:hAnsiTheme="minorHAnsi" w:cstheme="minorHAnsi"/>
                <w:color w:val="000000"/>
                <w:spacing w:val="-5"/>
                <w:lang w:val="en-US"/>
              </w:rPr>
            </w:pPr>
            <w:r w:rsidRPr="00536CD1">
              <w:rPr>
                <w:rFonts w:asciiTheme="minorHAnsi" w:eastAsia="Arial" w:hAnsiTheme="minorHAnsi" w:cstheme="minorHAnsi"/>
                <w:color w:val="000000"/>
                <w:spacing w:val="-5"/>
                <w:lang w:val="en-US"/>
              </w:rPr>
              <w:t>1</w:t>
            </w:r>
            <w:r w:rsidR="003F66ED">
              <w:rPr>
                <w:rFonts w:asciiTheme="minorHAnsi" w:eastAsia="Arial" w:hAnsiTheme="minorHAnsi" w:cstheme="minorHAnsi"/>
                <w:color w:val="000000"/>
                <w:spacing w:val="-5"/>
                <w:lang w:val="en-US"/>
              </w:rPr>
              <w:t>57</w:t>
            </w:r>
          </w:p>
        </w:tc>
        <w:tc>
          <w:tcPr>
            <w:tcW w:w="1591" w:type="dxa"/>
            <w:tcBorders>
              <w:left w:val="single" w:sz="4" w:space="0" w:color="FFFFFF"/>
              <w:right w:val="single" w:sz="4" w:space="0" w:color="FFFFFF"/>
            </w:tcBorders>
            <w:vAlign w:val="center"/>
          </w:tcPr>
          <w:p w:rsidR="00D83608" w:rsidRPr="00536CD1" w:rsidRDefault="003F66ED" w:rsidP="00D83608">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290</w:t>
            </w:r>
          </w:p>
        </w:tc>
        <w:tc>
          <w:tcPr>
            <w:tcW w:w="1559" w:type="dxa"/>
            <w:tcBorders>
              <w:left w:val="single" w:sz="4" w:space="0" w:color="FFFFFF"/>
              <w:right w:val="single" w:sz="4" w:space="0" w:color="FFFFFF"/>
            </w:tcBorders>
            <w:vAlign w:val="center"/>
          </w:tcPr>
          <w:p w:rsidR="00536CD1" w:rsidRPr="00536CD1" w:rsidRDefault="003F66ED" w:rsidP="00536CD1">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45.9</w:t>
            </w:r>
            <w:r w:rsidR="00536CD1">
              <w:rPr>
                <w:rFonts w:asciiTheme="minorHAnsi" w:eastAsia="Arial" w:hAnsiTheme="minorHAnsi" w:cstheme="minorHAnsi"/>
                <w:color w:val="000000"/>
                <w:spacing w:val="-5"/>
                <w:lang w:val="en-US"/>
              </w:rPr>
              <w:t>%</w:t>
            </w:r>
          </w:p>
        </w:tc>
        <w:tc>
          <w:tcPr>
            <w:tcW w:w="1559" w:type="dxa"/>
            <w:tcBorders>
              <w:left w:val="single" w:sz="4" w:space="0" w:color="FFFFFF"/>
              <w:right w:val="single" w:sz="4" w:space="0" w:color="FFFFFF"/>
            </w:tcBorders>
            <w:vAlign w:val="center"/>
          </w:tcPr>
          <w:p w:rsidR="00D83608" w:rsidRPr="00536CD1" w:rsidRDefault="003F66ED" w:rsidP="00D83608">
            <w:pPr>
              <w:jc w:val="center"/>
              <w:textAlignment w:val="baseline"/>
              <w:rPr>
                <w:rFonts w:asciiTheme="minorHAnsi" w:eastAsia="Arial" w:hAnsiTheme="minorHAnsi" w:cstheme="minorHAnsi"/>
                <w:color w:val="000000"/>
                <w:spacing w:val="-5"/>
                <w:lang w:val="en-US"/>
              </w:rPr>
            </w:pPr>
            <w:r>
              <w:rPr>
                <w:rFonts w:asciiTheme="minorHAnsi" w:eastAsia="Arial" w:hAnsiTheme="minorHAnsi" w:cstheme="minorHAnsi"/>
                <w:color w:val="000000"/>
                <w:spacing w:val="-5"/>
                <w:lang w:val="en-US"/>
              </w:rPr>
              <w:t>54.1</w:t>
            </w:r>
            <w:r w:rsidR="00536CD1">
              <w:rPr>
                <w:rFonts w:asciiTheme="minorHAnsi" w:eastAsia="Arial" w:hAnsiTheme="minorHAnsi" w:cstheme="minorHAnsi"/>
                <w:color w:val="000000"/>
                <w:spacing w:val="-5"/>
                <w:lang w:val="en-US"/>
              </w:rPr>
              <w:t>%</w:t>
            </w:r>
          </w:p>
        </w:tc>
      </w:tr>
    </w:tbl>
    <w:p w:rsidR="004A5907" w:rsidRPr="00CC6C55" w:rsidRDefault="00CC6C55" w:rsidP="00EF1641">
      <w:pPr>
        <w:spacing w:before="842" w:line="292" w:lineRule="exact"/>
        <w:ind w:left="-284" w:right="138"/>
        <w:textAlignment w:val="baseline"/>
        <w:rPr>
          <w:rFonts w:asciiTheme="minorHAnsi" w:eastAsia="Arial" w:hAnsiTheme="minorHAnsi" w:cstheme="minorHAnsi"/>
          <w:color w:val="000000"/>
          <w:spacing w:val="-5"/>
          <w:sz w:val="24"/>
          <w:szCs w:val="24"/>
          <w:lang w:val="en-US"/>
        </w:rPr>
      </w:pPr>
      <w:r w:rsidRPr="00CC6C55">
        <w:rPr>
          <w:rFonts w:asciiTheme="minorHAnsi" w:eastAsia="Arial" w:hAnsiTheme="minorHAnsi" w:cstheme="minorHAnsi"/>
          <w:color w:val="000000"/>
          <w:spacing w:val="-5"/>
          <w:sz w:val="24"/>
          <w:szCs w:val="24"/>
          <w:lang w:val="en-US"/>
        </w:rPr>
        <w:t>The gender pay gap isn’t because Somerville College pays men more than women in equivalent roles – it is because women are over-represented in the lowest paid roles</w:t>
      </w:r>
      <w:r w:rsidR="00415A8F">
        <w:rPr>
          <w:rFonts w:asciiTheme="minorHAnsi" w:eastAsia="Arial" w:hAnsiTheme="minorHAnsi" w:cstheme="minorHAnsi"/>
          <w:color w:val="000000"/>
          <w:spacing w:val="-5"/>
          <w:sz w:val="24"/>
          <w:szCs w:val="24"/>
          <w:lang w:val="en-US"/>
        </w:rPr>
        <w:t xml:space="preserve">. </w:t>
      </w:r>
      <w:r w:rsidRPr="00CC6C55">
        <w:rPr>
          <w:rFonts w:asciiTheme="minorHAnsi" w:eastAsia="Arial" w:hAnsiTheme="minorHAnsi" w:cstheme="minorHAnsi"/>
          <w:color w:val="000000"/>
          <w:spacing w:val="-5"/>
          <w:sz w:val="24"/>
          <w:szCs w:val="24"/>
          <w:lang w:val="en-US"/>
        </w:rPr>
        <w:t xml:space="preserve">The action plan described in our Equality Report shows how we are looking to address </w:t>
      </w:r>
      <w:r w:rsidR="00415A8F">
        <w:rPr>
          <w:rFonts w:asciiTheme="minorHAnsi" w:eastAsia="Arial" w:hAnsiTheme="minorHAnsi" w:cstheme="minorHAnsi"/>
          <w:color w:val="000000"/>
          <w:spacing w:val="-5"/>
          <w:sz w:val="24"/>
          <w:szCs w:val="24"/>
          <w:lang w:val="en-US"/>
        </w:rPr>
        <w:t>this</w:t>
      </w:r>
      <w:bookmarkStart w:id="0" w:name="_GoBack"/>
      <w:bookmarkEnd w:id="0"/>
      <w:r>
        <w:rPr>
          <w:rFonts w:asciiTheme="minorHAnsi" w:eastAsia="Arial" w:hAnsiTheme="minorHAnsi" w:cstheme="minorHAnsi"/>
          <w:color w:val="000000"/>
          <w:spacing w:val="-5"/>
          <w:sz w:val="24"/>
          <w:szCs w:val="24"/>
          <w:lang w:val="en-US"/>
        </w:rPr>
        <w:t>.</w:t>
      </w:r>
    </w:p>
    <w:sectPr w:rsidR="004A5907" w:rsidRPr="00CC6C55" w:rsidSect="00EF1641">
      <w:pgSz w:w="11904" w:h="16834"/>
      <w:pgMar w:top="533" w:right="989" w:bottom="193" w:left="1421" w:header="720" w:footer="720" w:gutter="0"/>
      <w:pgBorders w:offsetFrom="page">
        <w:top w:val="single" w:sz="4" w:space="24" w:color="FF0000"/>
        <w:left w:val="single" w:sz="4" w:space="24" w:color="FF0000"/>
        <w:bottom w:val="single" w:sz="4" w:space="24" w:color="FF0000"/>
        <w:right w:val="single" w:sz="4"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54325"/>
    <w:multiLevelType w:val="multilevel"/>
    <w:tmpl w:val="28689B96"/>
    <w:lvl w:ilvl="0">
      <w:start w:val="1"/>
      <w:numFmt w:val="decimal"/>
      <w:lvlText w:val="%1."/>
      <w:lvlJc w:val="left"/>
      <w:pPr>
        <w:tabs>
          <w:tab w:val="left" w:pos="360"/>
        </w:tabs>
      </w:pPr>
      <w:rPr>
        <w:rFonts w:ascii="Verdana" w:eastAsia="Verdana" w:hAnsi="Verdana"/>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F95791"/>
    <w:multiLevelType w:val="multilevel"/>
    <w:tmpl w:val="28689B96"/>
    <w:lvl w:ilvl="0">
      <w:start w:val="1"/>
      <w:numFmt w:val="decimal"/>
      <w:lvlText w:val="%1."/>
      <w:lvlJc w:val="left"/>
      <w:pPr>
        <w:tabs>
          <w:tab w:val="left" w:pos="360"/>
        </w:tabs>
      </w:pPr>
      <w:rPr>
        <w:rFonts w:ascii="Verdana" w:eastAsia="Verdana" w:hAnsi="Verdana"/>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60"/>
    <w:rsid w:val="00092B77"/>
    <w:rsid w:val="0029389B"/>
    <w:rsid w:val="003E2F02"/>
    <w:rsid w:val="003F66ED"/>
    <w:rsid w:val="00415A8F"/>
    <w:rsid w:val="004A5907"/>
    <w:rsid w:val="00536CD1"/>
    <w:rsid w:val="00657288"/>
    <w:rsid w:val="006C317E"/>
    <w:rsid w:val="00784E0B"/>
    <w:rsid w:val="007B56A2"/>
    <w:rsid w:val="00A22048"/>
    <w:rsid w:val="00C34BE7"/>
    <w:rsid w:val="00C74360"/>
    <w:rsid w:val="00CC6C55"/>
    <w:rsid w:val="00D7531C"/>
    <w:rsid w:val="00D83608"/>
    <w:rsid w:val="00D844B0"/>
    <w:rsid w:val="00DB6858"/>
    <w:rsid w:val="00EB6762"/>
    <w:rsid w:val="00EF1641"/>
    <w:rsid w:val="00F36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094F"/>
  <w15:docId w15:val="{847514A2-8C11-4DF3-B283-DAC1952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907"/>
    <w:pPr>
      <w:ind w:left="720"/>
      <w:contextualSpacing/>
    </w:pPr>
  </w:style>
  <w:style w:type="table" w:styleId="TableGrid">
    <w:name w:val="Table Grid"/>
    <w:basedOn w:val="TableNormal"/>
    <w:uiPriority w:val="39"/>
    <w:rsid w:val="004A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Harriet</dc:creator>
  <cp:lastModifiedBy>Hughes, Salome</cp:lastModifiedBy>
  <cp:revision>2</cp:revision>
  <dcterms:created xsi:type="dcterms:W3CDTF">2020-03-25T13:20:00Z</dcterms:created>
  <dcterms:modified xsi:type="dcterms:W3CDTF">2020-03-25T13:20:00Z</dcterms:modified>
</cp:coreProperties>
</file>