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E3" w:rsidRDefault="00DA2CE3" w:rsidP="00DA2CE3">
      <w:pPr>
        <w:pStyle w:val="NormalWeb"/>
      </w:pPr>
      <w:bookmarkStart w:id="0" w:name="_GoBack"/>
      <w:bookmarkEnd w:id="0"/>
      <w:r>
        <w:rPr>
          <w:rFonts w:ascii="Arial,Bold" w:hAnsi="Arial,Bold"/>
          <w:sz w:val="24"/>
          <w:szCs w:val="24"/>
        </w:rPr>
        <w:t xml:space="preserve">GERMAN FOR BEGINNERS </w:t>
      </w:r>
    </w:p>
    <w:p w:rsidR="00DA2CE3" w:rsidRDefault="00DA2CE3" w:rsidP="00DA2CE3">
      <w:pPr>
        <w:pStyle w:val="NormalWeb"/>
      </w:pPr>
      <w:r>
        <w:rPr>
          <w:rFonts w:ascii="Arial" w:hAnsi="Arial" w:cs="Arial"/>
          <w:sz w:val="22"/>
          <w:szCs w:val="22"/>
        </w:rPr>
        <w:t xml:space="preserve">Students will attend a pre-sessional course in order to prepare for the intensive language work leading up to the Preliminary examination. This pre-sessional course consists of an online course and a residential course.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All students need to have completed the online course by the time they start the residential course. Students are advised to allow at least 14 days for completion of the online course, which will be available from 1 September. For completion, students will need an internet connection, the </w:t>
      </w:r>
      <w:r w:rsidRPr="00DA2CE3">
        <w:rPr>
          <w:rFonts w:ascii="Arial,Italic" w:hAnsi="Arial,Italic" w:cs="Times New Roman"/>
          <w:sz w:val="22"/>
          <w:szCs w:val="22"/>
        </w:rPr>
        <w:t xml:space="preserve">DaF kompakt </w:t>
      </w:r>
      <w:r w:rsidRPr="00DA2CE3">
        <w:rPr>
          <w:rFonts w:ascii="Arial" w:hAnsi="Arial" w:cs="Arial"/>
          <w:sz w:val="22"/>
          <w:szCs w:val="22"/>
        </w:rPr>
        <w:t xml:space="preserve">course book and work book, and </w:t>
      </w:r>
      <w:r w:rsidRPr="00DA2CE3">
        <w:rPr>
          <w:rFonts w:ascii="Arial,Italic" w:hAnsi="Arial,Italic" w:cs="Times New Roman"/>
          <w:sz w:val="22"/>
          <w:szCs w:val="22"/>
        </w:rPr>
        <w:t>Essential German Grammar</w:t>
      </w:r>
      <w:r w:rsidRPr="00DA2CE3">
        <w:rPr>
          <w:rFonts w:ascii="Arial" w:hAnsi="Arial" w:cs="Arial"/>
          <w:sz w:val="22"/>
          <w:szCs w:val="22"/>
        </w:rPr>
        <w:t xml:space="preserv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The online course uses the platform </w:t>
      </w:r>
      <w:r w:rsidRPr="00DA2CE3">
        <w:rPr>
          <w:rFonts w:ascii="Arial,Italic" w:hAnsi="Arial,Italic" w:cs="Times New Roman"/>
          <w:sz w:val="22"/>
          <w:szCs w:val="22"/>
        </w:rPr>
        <w:t xml:space="preserve">Babbel </w:t>
      </w:r>
      <w:r w:rsidRPr="00DA2CE3">
        <w:rPr>
          <w:rFonts w:ascii="Arial" w:hAnsi="Arial" w:cs="Arial"/>
          <w:sz w:val="22"/>
          <w:szCs w:val="22"/>
        </w:rPr>
        <w:t xml:space="preserve">and is supported by a forum on WebLearn, which is used for smaller assignments and allows students to discuss questions and any areas of difficulty. Students are also able to contact the instructor via e-mail.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The first-year German for Beginners course will consist of four components: three will be focused on intensive language study, while the fourth will give students an opportunity to work on literature also studied by the post-A level cohort. The course for the three language papers (Papers I, II and III) is centrally organised, and is specific to students of Beginners’ German. The course for the literature paper (Paper IV) is organised and taught by the students’ college. For Paper IV, Beginners’ German students will read four narrative works, initially primarily in translation. They will be expected to use the translation consistently in conjunction with the original, maximising the focus of their reading over time on the original German text. The college-organised tutorials or classes on these works will bring together students from the Beginners’ German group and the post-A level group, and will focus on the German text. Alongside these tutorials or classes, students’ reading skills in German will be developed in a centrally organised class that will complement, and interact with, both the language papers and the literature paper.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The Preliminary Examination is taken at the end of the first year, and consists of the following: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Italic" w:hAnsi="Arial,BoldItalic" w:cs="Times New Roman"/>
        </w:rPr>
        <w:t xml:space="preserve">LANGUAGE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22"/>
          <w:szCs w:val="22"/>
        </w:rPr>
        <w:t xml:space="preserve">Paper I </w:t>
      </w:r>
      <w:r w:rsidRPr="00DA2CE3">
        <w:rPr>
          <w:rFonts w:ascii="TimesNewRoman,Italic" w:hAnsi="TimesNewRoman,Italic" w:cs="Times New Roman"/>
        </w:rPr>
        <w:t xml:space="preserve">Reading Comprehension, Essay and Grammar </w:t>
      </w:r>
    </w:p>
    <w:p w:rsidR="00DA2CE3" w:rsidRPr="00DA2CE3" w:rsidRDefault="00DA2CE3" w:rsidP="00DA2CE3">
      <w:pPr>
        <w:numPr>
          <w:ilvl w:val="0"/>
          <w:numId w:val="1"/>
        </w:numPr>
        <w:spacing w:before="100" w:beforeAutospacing="1" w:after="100" w:afterAutospacing="1"/>
        <w:rPr>
          <w:rFonts w:ascii="Times" w:hAnsi="Times" w:cs="Times New Roman"/>
          <w:sz w:val="20"/>
          <w:szCs w:val="20"/>
        </w:rPr>
      </w:pPr>
      <w:r w:rsidRPr="00DA2CE3">
        <w:rPr>
          <w:rFonts w:ascii="Arial" w:hAnsi="Arial" w:cs="Arial"/>
          <w:sz w:val="22"/>
          <w:szCs w:val="22"/>
        </w:rPr>
        <w:t xml:space="preserve">A)  Reading comprehension exercise (in German) on a passage in German. </w:t>
      </w:r>
    </w:p>
    <w:p w:rsidR="00DA2CE3" w:rsidRPr="00DA2CE3" w:rsidRDefault="00DA2CE3" w:rsidP="00DA2CE3">
      <w:pPr>
        <w:numPr>
          <w:ilvl w:val="0"/>
          <w:numId w:val="1"/>
        </w:numPr>
        <w:spacing w:before="100" w:beforeAutospacing="1" w:after="100" w:afterAutospacing="1"/>
        <w:rPr>
          <w:rFonts w:ascii="Times" w:hAnsi="Times" w:cs="Times New Roman"/>
          <w:sz w:val="20"/>
          <w:szCs w:val="20"/>
        </w:rPr>
      </w:pPr>
      <w:r w:rsidRPr="00DA2CE3">
        <w:rPr>
          <w:rFonts w:ascii="Arial" w:hAnsi="Arial" w:cs="Arial"/>
          <w:sz w:val="22"/>
          <w:szCs w:val="22"/>
        </w:rPr>
        <w:t xml:space="preserve">B)  One essay in German (250-400 words). A choice of questions will be set. </w:t>
      </w:r>
    </w:p>
    <w:p w:rsidR="00DA2CE3" w:rsidRPr="00DA2CE3" w:rsidRDefault="00DA2CE3" w:rsidP="00DA2CE3">
      <w:pPr>
        <w:numPr>
          <w:ilvl w:val="0"/>
          <w:numId w:val="1"/>
        </w:numPr>
        <w:spacing w:before="100" w:beforeAutospacing="1" w:after="100" w:afterAutospacing="1"/>
        <w:rPr>
          <w:rFonts w:ascii="Times" w:hAnsi="Times" w:cs="Times New Roman"/>
          <w:sz w:val="20"/>
          <w:szCs w:val="20"/>
        </w:rPr>
      </w:pPr>
      <w:r w:rsidRPr="00DA2CE3">
        <w:rPr>
          <w:rFonts w:ascii="Arial" w:hAnsi="Arial" w:cs="Arial"/>
          <w:sz w:val="22"/>
          <w:szCs w:val="22"/>
        </w:rPr>
        <w:t xml:space="preserve">C)  Grammar exercises designed to test grammatical knowledge and the </w:t>
      </w:r>
    </w:p>
    <w:p w:rsidR="00DA2CE3" w:rsidRPr="00DA2CE3" w:rsidRDefault="00DA2CE3" w:rsidP="00DA2CE3">
      <w:pPr>
        <w:spacing w:before="100" w:beforeAutospacing="1" w:after="100" w:afterAutospacing="1"/>
        <w:ind w:left="720"/>
        <w:rPr>
          <w:rFonts w:ascii="Times" w:hAnsi="Times" w:cs="Times New Roman"/>
          <w:sz w:val="20"/>
          <w:szCs w:val="20"/>
        </w:rPr>
      </w:pPr>
      <w:r w:rsidRPr="00DA2CE3">
        <w:rPr>
          <w:rFonts w:ascii="Arial" w:hAnsi="Arial" w:cs="Arial"/>
          <w:sz w:val="22"/>
          <w:szCs w:val="22"/>
        </w:rPr>
        <w:t xml:space="preserve">ability to apply it appropriately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22"/>
          <w:szCs w:val="22"/>
        </w:rPr>
        <w:t xml:space="preserve">Paper IIA </w:t>
      </w:r>
      <w:r w:rsidRPr="00DA2CE3">
        <w:rPr>
          <w:rFonts w:ascii="Arial" w:hAnsi="Arial" w:cs="Arial"/>
          <w:sz w:val="22"/>
          <w:szCs w:val="22"/>
        </w:rPr>
        <w:t xml:space="preserve">Translation into German of a prose passage.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22"/>
          <w:szCs w:val="22"/>
        </w:rPr>
        <w:t xml:space="preserve">Paper IIB </w:t>
      </w:r>
      <w:r w:rsidRPr="00DA2CE3">
        <w:rPr>
          <w:rFonts w:ascii="Arial" w:hAnsi="Arial" w:cs="Arial"/>
          <w:sz w:val="22"/>
          <w:szCs w:val="22"/>
        </w:rPr>
        <w:t xml:space="preserve">Translation from German of a prose passage in a modern literary register. </w:t>
      </w:r>
      <w:r w:rsidRPr="00DA2CE3">
        <w:rPr>
          <w:rFonts w:ascii="Arial,Bold" w:hAnsi="Arial,Bold" w:cs="Times New Roman"/>
          <w:sz w:val="22"/>
          <w:szCs w:val="22"/>
        </w:rPr>
        <w:t xml:space="preserve">Paper III </w:t>
      </w:r>
      <w:r w:rsidRPr="00DA2CE3">
        <w:rPr>
          <w:rFonts w:ascii="Arial" w:hAnsi="Arial" w:cs="Arial"/>
          <w:sz w:val="22"/>
          <w:szCs w:val="22"/>
        </w:rPr>
        <w:t xml:space="preserve">An oral exam with a spoken part and a listening comprehension.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22"/>
          <w:szCs w:val="22"/>
        </w:rPr>
        <w:t>Books required for the language papers:</w:t>
      </w:r>
      <w:r w:rsidRPr="00DA2CE3">
        <w:rPr>
          <w:rFonts w:ascii="Arial,Bold" w:hAnsi="Arial,Bold" w:cs="Times New Roman"/>
          <w:sz w:val="22"/>
          <w:szCs w:val="22"/>
        </w:rPr>
        <w:br/>
      </w:r>
      <w:r w:rsidRPr="00DA2CE3">
        <w:rPr>
          <w:rFonts w:ascii="Arial,BoldItalic" w:hAnsi="Arial,BoldItalic" w:cs="Times New Roman"/>
          <w:sz w:val="22"/>
          <w:szCs w:val="22"/>
        </w:rPr>
        <w:t>DaF kompakt A1 - B1</w:t>
      </w:r>
      <w:r w:rsidRPr="00DA2CE3">
        <w:rPr>
          <w:rFonts w:ascii="Arial,Bold" w:hAnsi="Arial,Bold" w:cs="Times New Roman"/>
          <w:sz w:val="22"/>
          <w:szCs w:val="22"/>
        </w:rPr>
        <w:t xml:space="preserve">, </w:t>
      </w:r>
      <w:r w:rsidRPr="00DA2CE3">
        <w:rPr>
          <w:rFonts w:ascii="Arial" w:hAnsi="Arial" w:cs="Arial"/>
          <w:sz w:val="22"/>
          <w:szCs w:val="22"/>
        </w:rPr>
        <w:t>Birgit Braun</w:t>
      </w:r>
      <w:r w:rsidRPr="00DA2CE3">
        <w:rPr>
          <w:rFonts w:ascii="Arial,Bold" w:hAnsi="Arial,Bold" w:cs="Times New Roman"/>
          <w:sz w:val="22"/>
          <w:szCs w:val="22"/>
        </w:rPr>
        <w:t xml:space="preserve">, </w:t>
      </w:r>
      <w:r w:rsidRPr="00DA2CE3">
        <w:rPr>
          <w:rFonts w:ascii="Arial" w:hAnsi="Arial" w:cs="Arial"/>
          <w:sz w:val="22"/>
          <w:szCs w:val="22"/>
        </w:rPr>
        <w:t xml:space="preserve">Margit Doubek et. al. </w:t>
      </w:r>
      <w:r w:rsidRPr="00DA2CE3">
        <w:rPr>
          <w:rFonts w:ascii="Arial" w:hAnsi="Arial" w:cs="Arial"/>
          <w:color w:val="262626"/>
          <w:sz w:val="22"/>
          <w:szCs w:val="22"/>
        </w:rPr>
        <w:t xml:space="preserve">Kursbuch + 3 Audio-CDs A1 - B1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color w:val="262626"/>
          <w:sz w:val="22"/>
          <w:szCs w:val="22"/>
        </w:rPr>
        <w:lastRenderedPageBreak/>
        <w:t xml:space="preserve">978-3-12-676180-2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Italic" w:hAnsi="Arial,BoldItalic" w:cs="Times New Roman"/>
          <w:sz w:val="22"/>
          <w:szCs w:val="22"/>
        </w:rPr>
        <w:t xml:space="preserve">DaF kompakt A1 - B1, </w:t>
      </w:r>
      <w:r w:rsidRPr="00DA2CE3">
        <w:rPr>
          <w:rFonts w:ascii="Arial" w:hAnsi="Arial" w:cs="Arial"/>
          <w:sz w:val="22"/>
          <w:szCs w:val="22"/>
        </w:rPr>
        <w:t xml:space="preserve">Birgit Braun, Margit Doubek et. al., </w:t>
      </w:r>
      <w:r w:rsidRPr="00DA2CE3">
        <w:rPr>
          <w:rFonts w:ascii="Arial" w:hAnsi="Arial" w:cs="Arial"/>
          <w:color w:val="262626"/>
          <w:sz w:val="22"/>
          <w:szCs w:val="22"/>
        </w:rPr>
        <w:t xml:space="preserve">Übungsbuch + 2 Audio-CDs A1 - B1 </w:t>
      </w:r>
      <w:r w:rsidRPr="00DA2CE3">
        <w:rPr>
          <w:rFonts w:ascii="Arial,Bold" w:hAnsi="Arial,Bold" w:cs="Times New Roman"/>
          <w:color w:val="262626"/>
          <w:sz w:val="22"/>
          <w:szCs w:val="22"/>
        </w:rPr>
        <w:t xml:space="preserve">978-3-12-676181-9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16"/>
          <w:szCs w:val="16"/>
        </w:rPr>
        <w:t xml:space="preserve">GERMAN Prelims - Information for students for 17/18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Martin Durrell, Katrin Kohl, Gudrun Loftus and Claudia Kaiser: </w:t>
      </w:r>
      <w:r w:rsidRPr="00DA2CE3">
        <w:rPr>
          <w:rFonts w:ascii="Arial,Italic" w:hAnsi="Arial,Italic" w:cs="Times New Roman"/>
          <w:sz w:val="22"/>
          <w:szCs w:val="22"/>
        </w:rPr>
        <w:t>Essential German Grammar</w:t>
      </w:r>
      <w:r w:rsidRPr="00DA2CE3">
        <w:rPr>
          <w:rFonts w:ascii="Arial" w:hAnsi="Arial" w:cs="Arial"/>
          <w:sz w:val="22"/>
          <w:szCs w:val="22"/>
        </w:rPr>
        <w:t xml:space="preserv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Italic" w:hAnsi="Arial,Italic" w:cs="Times New Roman"/>
          <w:sz w:val="22"/>
          <w:szCs w:val="22"/>
          <w:shd w:val="clear" w:color="auto" w:fill="FFFFFF"/>
        </w:rPr>
        <w:t xml:space="preserve">Collins German Dictionary </w:t>
      </w:r>
      <w:r w:rsidRPr="00DA2CE3">
        <w:rPr>
          <w:rFonts w:ascii="Arial" w:hAnsi="Arial" w:cs="Arial"/>
          <w:sz w:val="22"/>
          <w:szCs w:val="22"/>
          <w:shd w:val="clear" w:color="auto" w:fill="FFFFFF"/>
        </w:rPr>
        <w:t xml:space="preserve">(Complete and Unabridged). Current edition. </w:t>
      </w:r>
      <w:r w:rsidRPr="00DA2CE3">
        <w:rPr>
          <w:rFonts w:ascii="Arial,BoldItalic" w:hAnsi="Arial,BoldItalic" w:cs="Times New Roman"/>
        </w:rPr>
        <w:t xml:space="preserve">LITERATURE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22"/>
          <w:szCs w:val="22"/>
        </w:rPr>
        <w:t xml:space="preserve">Paper IV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Bold" w:hAnsi="Arial,Bold" w:cs="Times New Roman"/>
          <w:sz w:val="22"/>
          <w:szCs w:val="22"/>
        </w:rPr>
        <w:t xml:space="preserve">Three essays </w:t>
      </w:r>
      <w:r w:rsidRPr="00DA2CE3">
        <w:rPr>
          <w:rFonts w:ascii="Arial" w:hAnsi="Arial" w:cs="Arial"/>
          <w:sz w:val="22"/>
          <w:szCs w:val="22"/>
        </w:rPr>
        <w:t xml:space="preserve">on German prose from 1890 to 1933: Theodor Fontane, </w:t>
      </w:r>
      <w:r w:rsidRPr="00DA2CE3">
        <w:rPr>
          <w:rFonts w:ascii="Arial,Italic" w:hAnsi="Arial,Italic" w:cs="Times New Roman"/>
          <w:sz w:val="22"/>
          <w:szCs w:val="22"/>
        </w:rPr>
        <w:t xml:space="preserve">Effi Briest </w:t>
      </w:r>
      <w:r w:rsidRPr="00DA2CE3">
        <w:rPr>
          <w:rFonts w:ascii="Arial" w:hAnsi="Arial" w:cs="Arial"/>
          <w:sz w:val="22"/>
          <w:szCs w:val="22"/>
        </w:rPr>
        <w:t xml:space="preserve">(1894/95).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Also: </w:t>
      </w:r>
      <w:r w:rsidRPr="00DA2CE3">
        <w:rPr>
          <w:rFonts w:ascii="Arial,Italic" w:hAnsi="Arial,Italic" w:cs="Times New Roman"/>
          <w:sz w:val="22"/>
          <w:szCs w:val="22"/>
        </w:rPr>
        <w:t>Effi Briest</w:t>
      </w:r>
      <w:r w:rsidRPr="00DA2CE3">
        <w:rPr>
          <w:rFonts w:ascii="Arial" w:hAnsi="Arial" w:cs="Arial"/>
          <w:sz w:val="22"/>
          <w:szCs w:val="22"/>
        </w:rPr>
        <w:t xml:space="preserve">, translated by Helen Chambers (Penguin Classics, 2000)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Franz Kafka, </w:t>
      </w:r>
      <w:r w:rsidRPr="00DA2CE3">
        <w:rPr>
          <w:rFonts w:ascii="Arial,Italic" w:hAnsi="Arial,Italic" w:cs="Times New Roman"/>
          <w:sz w:val="22"/>
          <w:szCs w:val="22"/>
        </w:rPr>
        <w:t xml:space="preserve">Die Verwandlung </w:t>
      </w:r>
      <w:r w:rsidRPr="00DA2CE3">
        <w:rPr>
          <w:rFonts w:ascii="Arial" w:hAnsi="Arial" w:cs="Arial"/>
          <w:sz w:val="22"/>
          <w:szCs w:val="22"/>
        </w:rPr>
        <w:t>(1912/1915)</w:t>
      </w:r>
      <w:r w:rsidRPr="00DA2CE3">
        <w:rPr>
          <w:rFonts w:ascii="Arial" w:hAnsi="Arial" w:cs="Arial"/>
          <w:sz w:val="22"/>
          <w:szCs w:val="22"/>
        </w:rPr>
        <w:br/>
        <w:t xml:space="preserve">Also: </w:t>
      </w:r>
      <w:r w:rsidRPr="00DA2CE3">
        <w:rPr>
          <w:rFonts w:ascii="Arial,Italic" w:hAnsi="Arial,Italic" w:cs="Times New Roman"/>
          <w:sz w:val="22"/>
          <w:szCs w:val="22"/>
        </w:rPr>
        <w:t>The Metamorphosis and Other Stories</w:t>
      </w:r>
      <w:r w:rsidRPr="00DA2CE3">
        <w:rPr>
          <w:rFonts w:ascii="Arial" w:hAnsi="Arial" w:cs="Arial"/>
          <w:sz w:val="22"/>
          <w:szCs w:val="22"/>
        </w:rPr>
        <w:t xml:space="preserve">, translated by Ritchie Robertson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(Oxford World’s Classics, 2009)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Erich Maria Remarque, </w:t>
      </w:r>
      <w:r w:rsidRPr="00DA2CE3">
        <w:rPr>
          <w:rFonts w:ascii="Arial,Italic" w:hAnsi="Arial,Italic" w:cs="Times New Roman"/>
          <w:sz w:val="22"/>
          <w:szCs w:val="22"/>
        </w:rPr>
        <w:t xml:space="preserve">Im Westen nichts Neues </w:t>
      </w:r>
      <w:r w:rsidRPr="00DA2CE3">
        <w:rPr>
          <w:rFonts w:ascii="Arial" w:hAnsi="Arial" w:cs="Arial"/>
          <w:sz w:val="22"/>
          <w:szCs w:val="22"/>
        </w:rPr>
        <w:t>(1929)</w:t>
      </w:r>
      <w:r w:rsidRPr="00DA2CE3">
        <w:rPr>
          <w:rFonts w:ascii="Arial" w:hAnsi="Arial" w:cs="Arial"/>
          <w:sz w:val="22"/>
          <w:szCs w:val="22"/>
        </w:rPr>
        <w:br/>
        <w:t xml:space="preserve">Also: </w:t>
      </w:r>
      <w:r w:rsidRPr="00DA2CE3">
        <w:rPr>
          <w:rFonts w:ascii="Arial,Italic" w:hAnsi="Arial,Italic" w:cs="Times New Roman"/>
          <w:sz w:val="22"/>
          <w:szCs w:val="22"/>
        </w:rPr>
        <w:t>All Quiet on the Western Front</w:t>
      </w:r>
      <w:r w:rsidRPr="00DA2CE3">
        <w:rPr>
          <w:rFonts w:ascii="Arial" w:hAnsi="Arial" w:cs="Arial"/>
          <w:sz w:val="22"/>
          <w:szCs w:val="22"/>
        </w:rPr>
        <w:t xml:space="preserve">, translated by Brian Murdoch (Collector’s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Library, 2012)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Thomas Mann, </w:t>
      </w:r>
      <w:r w:rsidRPr="00DA2CE3">
        <w:rPr>
          <w:rFonts w:ascii="Arial,Italic" w:hAnsi="Arial,Italic" w:cs="Times New Roman"/>
          <w:sz w:val="22"/>
          <w:szCs w:val="22"/>
        </w:rPr>
        <w:t xml:space="preserve">Mario und der Zauberer </w:t>
      </w:r>
      <w:r w:rsidRPr="00DA2CE3">
        <w:rPr>
          <w:rFonts w:ascii="Arial" w:hAnsi="Arial" w:cs="Arial"/>
          <w:sz w:val="22"/>
          <w:szCs w:val="22"/>
        </w:rPr>
        <w:t>(1930)</w:t>
      </w:r>
      <w:r w:rsidRPr="00DA2CE3">
        <w:rPr>
          <w:rFonts w:ascii="Arial" w:hAnsi="Arial" w:cs="Arial"/>
          <w:sz w:val="22"/>
          <w:szCs w:val="22"/>
        </w:rPr>
        <w:br/>
        <w:t xml:space="preserve">Also: </w:t>
      </w:r>
      <w:r w:rsidRPr="00DA2CE3">
        <w:rPr>
          <w:rFonts w:ascii="Arial,Italic" w:hAnsi="Arial,Italic" w:cs="Times New Roman"/>
          <w:sz w:val="22"/>
          <w:szCs w:val="22"/>
        </w:rPr>
        <w:t>Mario and the Magician</w:t>
      </w:r>
      <w:r w:rsidRPr="00DA2CE3">
        <w:rPr>
          <w:rFonts w:ascii="Arial" w:hAnsi="Arial" w:cs="Arial"/>
          <w:sz w:val="22"/>
          <w:szCs w:val="22"/>
        </w:rPr>
        <w:t xml:space="preserve">, translated by H. T. Lowe-Porter, in </w:t>
      </w:r>
      <w:r w:rsidRPr="00DA2CE3">
        <w:rPr>
          <w:rFonts w:ascii="Arial,Italic" w:hAnsi="Arial,Italic" w:cs="Times New Roman"/>
          <w:sz w:val="22"/>
          <w:szCs w:val="22"/>
        </w:rPr>
        <w:t xml:space="preserve">Mario and the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Italic" w:hAnsi="Arial,Italic" w:cs="Times New Roman"/>
          <w:sz w:val="22"/>
          <w:szCs w:val="22"/>
        </w:rPr>
        <w:t>Magician and Other Stories</w:t>
      </w:r>
      <w:r w:rsidRPr="00DA2CE3">
        <w:rPr>
          <w:rFonts w:ascii="Arial" w:hAnsi="Arial" w:cs="Arial"/>
          <w:sz w:val="22"/>
          <w:szCs w:val="22"/>
        </w:rPr>
        <w:t>, Vintage Mann (Random House, 1996)</w:t>
      </w:r>
      <w:r w:rsidRPr="00DA2CE3">
        <w:rPr>
          <w:rFonts w:ascii="Arial" w:hAnsi="Arial" w:cs="Arial"/>
          <w:sz w:val="22"/>
          <w:szCs w:val="22"/>
        </w:rPr>
        <w:br/>
        <w:t xml:space="preserve">All candidates taking the Paper IV examination are encouraged as far as possible to use the </w:t>
      </w:r>
    </w:p>
    <w:p w:rsidR="00DA2CE3" w:rsidRPr="00DA2CE3" w:rsidRDefault="00DA2CE3" w:rsidP="00DA2CE3">
      <w:pPr>
        <w:spacing w:before="100" w:beforeAutospacing="1" w:after="100" w:afterAutospacing="1"/>
        <w:rPr>
          <w:rFonts w:ascii="Times" w:hAnsi="Times" w:cs="Times New Roman"/>
          <w:sz w:val="20"/>
          <w:szCs w:val="20"/>
        </w:rPr>
      </w:pPr>
      <w:r w:rsidRPr="00DA2CE3">
        <w:rPr>
          <w:rFonts w:ascii="Arial" w:hAnsi="Arial" w:cs="Arial"/>
          <w:sz w:val="22"/>
          <w:szCs w:val="22"/>
        </w:rPr>
        <w:t xml:space="preserve">original German text and to refer to it when quoting from the work. </w:t>
      </w:r>
    </w:p>
    <w:p w:rsidR="001C63EA" w:rsidRDefault="001C63EA"/>
    <w:sectPr w:rsidR="001C63EA" w:rsidSect="007006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Italic">
    <w:altName w:val="Times New Roman"/>
    <w:panose1 w:val="00000000000000000000"/>
    <w:charset w:val="00"/>
    <w:family w:val="roman"/>
    <w:notTrueType/>
    <w:pitch w:val="default"/>
  </w:font>
  <w:font w:name="Arial,BoldItalic">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1F2"/>
    <w:multiLevelType w:val="multilevel"/>
    <w:tmpl w:val="9E48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E3"/>
    <w:rsid w:val="001C63EA"/>
    <w:rsid w:val="005B71A9"/>
    <w:rsid w:val="007006F2"/>
    <w:rsid w:val="00DA2C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B7A2DE99-9291-47A5-A539-0C79B9A7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EastAsia" w:hAnsi="Gill Sans MT"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CE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7333">
      <w:bodyDiv w:val="1"/>
      <w:marLeft w:val="0"/>
      <w:marRight w:val="0"/>
      <w:marTop w:val="0"/>
      <w:marBottom w:val="0"/>
      <w:divBdr>
        <w:top w:val="none" w:sz="0" w:space="0" w:color="auto"/>
        <w:left w:val="none" w:sz="0" w:space="0" w:color="auto"/>
        <w:bottom w:val="none" w:sz="0" w:space="0" w:color="auto"/>
        <w:right w:val="none" w:sz="0" w:space="0" w:color="auto"/>
      </w:divBdr>
      <w:divsChild>
        <w:div w:id="387072387">
          <w:marLeft w:val="0"/>
          <w:marRight w:val="0"/>
          <w:marTop w:val="0"/>
          <w:marBottom w:val="0"/>
          <w:divBdr>
            <w:top w:val="none" w:sz="0" w:space="0" w:color="auto"/>
            <w:left w:val="none" w:sz="0" w:space="0" w:color="auto"/>
            <w:bottom w:val="none" w:sz="0" w:space="0" w:color="auto"/>
            <w:right w:val="none" w:sz="0" w:space="0" w:color="auto"/>
          </w:divBdr>
          <w:divsChild>
            <w:div w:id="37248395">
              <w:marLeft w:val="0"/>
              <w:marRight w:val="0"/>
              <w:marTop w:val="0"/>
              <w:marBottom w:val="0"/>
              <w:divBdr>
                <w:top w:val="none" w:sz="0" w:space="0" w:color="auto"/>
                <w:left w:val="none" w:sz="0" w:space="0" w:color="auto"/>
                <w:bottom w:val="none" w:sz="0" w:space="0" w:color="auto"/>
                <w:right w:val="none" w:sz="0" w:space="0" w:color="auto"/>
              </w:divBdr>
              <w:divsChild>
                <w:div w:id="168378289">
                  <w:marLeft w:val="0"/>
                  <w:marRight w:val="0"/>
                  <w:marTop w:val="0"/>
                  <w:marBottom w:val="0"/>
                  <w:divBdr>
                    <w:top w:val="none" w:sz="0" w:space="0" w:color="auto"/>
                    <w:left w:val="none" w:sz="0" w:space="0" w:color="auto"/>
                    <w:bottom w:val="none" w:sz="0" w:space="0" w:color="auto"/>
                    <w:right w:val="none" w:sz="0" w:space="0" w:color="auto"/>
                  </w:divBdr>
                </w:div>
              </w:divsChild>
            </w:div>
            <w:div w:id="362563683">
              <w:marLeft w:val="0"/>
              <w:marRight w:val="0"/>
              <w:marTop w:val="0"/>
              <w:marBottom w:val="0"/>
              <w:divBdr>
                <w:top w:val="none" w:sz="0" w:space="0" w:color="auto"/>
                <w:left w:val="none" w:sz="0" w:space="0" w:color="auto"/>
                <w:bottom w:val="none" w:sz="0" w:space="0" w:color="auto"/>
                <w:right w:val="none" w:sz="0" w:space="0" w:color="auto"/>
              </w:divBdr>
              <w:divsChild>
                <w:div w:id="1112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889">
          <w:marLeft w:val="0"/>
          <w:marRight w:val="0"/>
          <w:marTop w:val="0"/>
          <w:marBottom w:val="0"/>
          <w:divBdr>
            <w:top w:val="none" w:sz="0" w:space="0" w:color="auto"/>
            <w:left w:val="none" w:sz="0" w:space="0" w:color="auto"/>
            <w:bottom w:val="none" w:sz="0" w:space="0" w:color="auto"/>
            <w:right w:val="none" w:sz="0" w:space="0" w:color="auto"/>
          </w:divBdr>
          <w:divsChild>
            <w:div w:id="498811354">
              <w:marLeft w:val="0"/>
              <w:marRight w:val="0"/>
              <w:marTop w:val="0"/>
              <w:marBottom w:val="0"/>
              <w:divBdr>
                <w:top w:val="none" w:sz="0" w:space="0" w:color="auto"/>
                <w:left w:val="none" w:sz="0" w:space="0" w:color="auto"/>
                <w:bottom w:val="none" w:sz="0" w:space="0" w:color="auto"/>
                <w:right w:val="none" w:sz="0" w:space="0" w:color="auto"/>
              </w:divBdr>
              <w:divsChild>
                <w:div w:id="1688750052">
                  <w:marLeft w:val="0"/>
                  <w:marRight w:val="0"/>
                  <w:marTop w:val="0"/>
                  <w:marBottom w:val="0"/>
                  <w:divBdr>
                    <w:top w:val="none" w:sz="0" w:space="0" w:color="auto"/>
                    <w:left w:val="none" w:sz="0" w:space="0" w:color="auto"/>
                    <w:bottom w:val="none" w:sz="0" w:space="0" w:color="auto"/>
                    <w:right w:val="none" w:sz="0" w:space="0" w:color="auto"/>
                  </w:divBdr>
                </w:div>
              </w:divsChild>
            </w:div>
            <w:div w:id="92675946">
              <w:marLeft w:val="0"/>
              <w:marRight w:val="0"/>
              <w:marTop w:val="0"/>
              <w:marBottom w:val="0"/>
              <w:divBdr>
                <w:top w:val="none" w:sz="0" w:space="0" w:color="auto"/>
                <w:left w:val="none" w:sz="0" w:space="0" w:color="auto"/>
                <w:bottom w:val="none" w:sz="0" w:space="0" w:color="auto"/>
                <w:right w:val="none" w:sz="0" w:space="0" w:color="auto"/>
              </w:divBdr>
              <w:divsChild>
                <w:div w:id="1513454147">
                  <w:marLeft w:val="0"/>
                  <w:marRight w:val="0"/>
                  <w:marTop w:val="0"/>
                  <w:marBottom w:val="0"/>
                  <w:divBdr>
                    <w:top w:val="none" w:sz="0" w:space="0" w:color="auto"/>
                    <w:left w:val="none" w:sz="0" w:space="0" w:color="auto"/>
                    <w:bottom w:val="none" w:sz="0" w:space="0" w:color="auto"/>
                    <w:right w:val="none" w:sz="0" w:space="0" w:color="auto"/>
                  </w:divBdr>
                </w:div>
              </w:divsChild>
            </w:div>
            <w:div w:id="111636585">
              <w:marLeft w:val="0"/>
              <w:marRight w:val="0"/>
              <w:marTop w:val="0"/>
              <w:marBottom w:val="0"/>
              <w:divBdr>
                <w:top w:val="none" w:sz="0" w:space="0" w:color="auto"/>
                <w:left w:val="none" w:sz="0" w:space="0" w:color="auto"/>
                <w:bottom w:val="none" w:sz="0" w:space="0" w:color="auto"/>
                <w:right w:val="none" w:sz="0" w:space="0" w:color="auto"/>
              </w:divBdr>
              <w:divsChild>
                <w:div w:id="974721272">
                  <w:marLeft w:val="0"/>
                  <w:marRight w:val="0"/>
                  <w:marTop w:val="0"/>
                  <w:marBottom w:val="0"/>
                  <w:divBdr>
                    <w:top w:val="none" w:sz="0" w:space="0" w:color="auto"/>
                    <w:left w:val="none" w:sz="0" w:space="0" w:color="auto"/>
                    <w:bottom w:val="none" w:sz="0" w:space="0" w:color="auto"/>
                    <w:right w:val="none" w:sz="0" w:space="0" w:color="auto"/>
                  </w:divBdr>
                </w:div>
                <w:div w:id="436369116">
                  <w:marLeft w:val="0"/>
                  <w:marRight w:val="0"/>
                  <w:marTop w:val="0"/>
                  <w:marBottom w:val="0"/>
                  <w:divBdr>
                    <w:top w:val="none" w:sz="0" w:space="0" w:color="auto"/>
                    <w:left w:val="none" w:sz="0" w:space="0" w:color="auto"/>
                    <w:bottom w:val="none" w:sz="0" w:space="0" w:color="auto"/>
                    <w:right w:val="none" w:sz="0" w:space="0" w:color="auto"/>
                  </w:divBdr>
                </w:div>
              </w:divsChild>
            </w:div>
            <w:div w:id="68619538">
              <w:marLeft w:val="0"/>
              <w:marRight w:val="0"/>
              <w:marTop w:val="0"/>
              <w:marBottom w:val="0"/>
              <w:divBdr>
                <w:top w:val="none" w:sz="0" w:space="0" w:color="auto"/>
                <w:left w:val="none" w:sz="0" w:space="0" w:color="auto"/>
                <w:bottom w:val="none" w:sz="0" w:space="0" w:color="auto"/>
                <w:right w:val="none" w:sz="0" w:space="0" w:color="auto"/>
              </w:divBdr>
              <w:divsChild>
                <w:div w:id="598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454667243">
          <w:marLeft w:val="0"/>
          <w:marRight w:val="0"/>
          <w:marTop w:val="0"/>
          <w:marBottom w:val="0"/>
          <w:divBdr>
            <w:top w:val="none" w:sz="0" w:space="0" w:color="auto"/>
            <w:left w:val="none" w:sz="0" w:space="0" w:color="auto"/>
            <w:bottom w:val="none" w:sz="0" w:space="0" w:color="auto"/>
            <w:right w:val="none" w:sz="0" w:space="0" w:color="auto"/>
          </w:divBdr>
          <w:divsChild>
            <w:div w:id="1768043099">
              <w:marLeft w:val="0"/>
              <w:marRight w:val="0"/>
              <w:marTop w:val="0"/>
              <w:marBottom w:val="0"/>
              <w:divBdr>
                <w:top w:val="none" w:sz="0" w:space="0" w:color="auto"/>
                <w:left w:val="none" w:sz="0" w:space="0" w:color="auto"/>
                <w:bottom w:val="none" w:sz="0" w:space="0" w:color="auto"/>
                <w:right w:val="none" w:sz="0" w:space="0" w:color="auto"/>
              </w:divBdr>
              <w:divsChild>
                <w:div w:id="107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 Suerbaum</dc:creator>
  <cp:keywords/>
  <dc:description/>
  <cp:lastModifiedBy>Gartside, Eileen</cp:lastModifiedBy>
  <cp:revision>2</cp:revision>
  <dcterms:created xsi:type="dcterms:W3CDTF">2017-09-19T13:00:00Z</dcterms:created>
  <dcterms:modified xsi:type="dcterms:W3CDTF">2017-09-19T13:00:00Z</dcterms:modified>
</cp:coreProperties>
</file>